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sz w:val="44"/>
          <w:szCs w:val="44"/>
          <w:lang w:val="en-US" w:eastAsia="zh-CN"/>
        </w:rPr>
      </w:pPr>
    </w:p>
    <w:p>
      <w:pPr>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lang w:val="en-US" w:eastAsia="zh-CN"/>
        </w:rPr>
        <w:t>关于邀请参加项目采购前综合</w:t>
      </w:r>
      <w:r>
        <w:rPr>
          <w:rFonts w:hint="eastAsia" w:ascii="仿宋_GB2312" w:hAnsi="仿宋_GB2312" w:eastAsia="仿宋_GB2312" w:cs="仿宋_GB2312"/>
          <w:b/>
          <w:bCs/>
          <w:sz w:val="44"/>
          <w:szCs w:val="44"/>
        </w:rPr>
        <w:t>论证</w:t>
      </w:r>
      <w:r>
        <w:rPr>
          <w:rFonts w:hint="eastAsia" w:ascii="仿宋_GB2312" w:hAnsi="仿宋_GB2312" w:eastAsia="仿宋_GB2312" w:cs="仿宋_GB2312"/>
          <w:b/>
          <w:bCs/>
          <w:sz w:val="44"/>
          <w:szCs w:val="44"/>
          <w:lang w:val="en-US" w:eastAsia="zh-CN"/>
        </w:rPr>
        <w:t>的函</w:t>
      </w:r>
    </w:p>
    <w:p>
      <w:pPr>
        <w:rPr>
          <w:rFonts w:hint="eastAsia" w:ascii="仿宋_GB2312" w:hAnsi="仿宋_GB2312" w:eastAsia="仿宋_GB2312" w:cs="仿宋_GB2312"/>
          <w:b/>
          <w:bCs/>
          <w:sz w:val="32"/>
          <w:szCs w:val="32"/>
          <w:lang w:val="en-US" w:eastAsia="zh-CN"/>
        </w:rPr>
      </w:pPr>
    </w:p>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各相关供应商：</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威海市立第三医院拟</w:t>
      </w:r>
      <w:r>
        <w:rPr>
          <w:rFonts w:hint="eastAsia" w:ascii="仿宋_GB2312" w:hAnsi="仿宋_GB2312" w:eastAsia="仿宋_GB2312" w:cs="仿宋_GB2312"/>
          <w:color w:val="auto"/>
          <w:sz w:val="32"/>
          <w:szCs w:val="32"/>
          <w:lang w:val="en-US" w:eastAsia="zh-CN"/>
        </w:rPr>
        <w:t>对</w:t>
      </w:r>
      <w:r>
        <w:rPr>
          <w:rFonts w:hint="eastAsia" w:ascii="仿宋_GB2312" w:hAnsi="仿宋_GB2312" w:eastAsia="仿宋_GB2312" w:cs="仿宋_GB2312"/>
          <w:color w:val="auto"/>
          <w:sz w:val="32"/>
          <w:szCs w:val="32"/>
          <w:u w:val="none"/>
          <w:lang w:val="en-US" w:eastAsia="zh-CN"/>
        </w:rPr>
        <w:t>编号</w:t>
      </w:r>
      <w:r>
        <w:rPr>
          <w:rFonts w:hint="eastAsia" w:ascii="仿宋_GB2312" w:hAnsi="仿宋_GB2312" w:eastAsia="仿宋_GB2312" w:cs="仿宋_GB2312"/>
          <w:color w:val="auto"/>
          <w:sz w:val="32"/>
          <w:szCs w:val="32"/>
          <w:u w:val="single"/>
          <w:lang w:val="en-US" w:eastAsia="zh-CN"/>
        </w:rPr>
        <w:t>LZ2023-36XX的超融合平台资源池扩容项目</w:t>
      </w:r>
      <w:r>
        <w:rPr>
          <w:rFonts w:hint="eastAsia" w:ascii="仿宋_GB2312" w:hAnsi="仿宋_GB2312" w:eastAsia="仿宋_GB2312" w:cs="仿宋_GB2312"/>
          <w:color w:val="auto"/>
          <w:sz w:val="32"/>
          <w:szCs w:val="32"/>
          <w:lang w:val="en-US" w:eastAsia="zh-CN"/>
        </w:rPr>
        <w:t>实施采购前综合论证，欢迎</w:t>
      </w:r>
      <w:r>
        <w:rPr>
          <w:rFonts w:hint="eastAsia" w:ascii="仿宋_GB2312" w:hAnsi="仿宋_GB2312" w:eastAsia="仿宋_GB2312" w:cs="仿宋_GB2312"/>
          <w:sz w:val="32"/>
          <w:szCs w:val="32"/>
          <w:lang w:val="en-US" w:eastAsia="zh-CN"/>
        </w:rPr>
        <w:t>相关供应商积极参与。</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拟参与供应商务必全面、认真阅读本函所有内容，并严格按本函要求落实参与事宜。未按要求履行程序或者未按要求提供资料的供应商，无法取得参与资格。</w:t>
      </w:r>
    </w:p>
    <w:p>
      <w:pPr>
        <w:numPr>
          <w:ilvl w:val="0"/>
          <w:numId w:val="0"/>
        </w:num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一、论证的时间</w:t>
      </w:r>
    </w:p>
    <w:p>
      <w:pPr>
        <w:numPr>
          <w:ilvl w:val="0"/>
          <w:numId w:val="0"/>
        </w:numPr>
        <w:ind w:firstLine="640"/>
        <w:rPr>
          <w:rFonts w:hint="eastAsia"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u w:val="single"/>
          <w:lang w:val="en-US" w:eastAsia="zh-CN"/>
        </w:rPr>
        <w:t>2023年11月2日14:00</w:t>
      </w:r>
      <w:r>
        <w:rPr>
          <w:rFonts w:hint="eastAsia" w:ascii="仿宋_GB2312" w:hAnsi="仿宋_GB2312" w:eastAsia="仿宋_GB2312" w:cs="仿宋_GB2312"/>
          <w:color w:val="auto"/>
          <w:sz w:val="32"/>
          <w:szCs w:val="32"/>
          <w:lang w:val="en-US" w:eastAsia="zh-CN"/>
        </w:rPr>
        <w:t>，当日</w:t>
      </w:r>
      <w:r>
        <w:rPr>
          <w:rFonts w:hint="eastAsia" w:ascii="仿宋_GB2312" w:hAnsi="仿宋_GB2312" w:eastAsia="仿宋_GB2312" w:cs="仿宋_GB2312"/>
          <w:color w:val="auto"/>
          <w:sz w:val="32"/>
          <w:szCs w:val="32"/>
          <w:u w:val="single"/>
          <w:lang w:val="en-US" w:eastAsia="zh-CN"/>
        </w:rPr>
        <w:t>13.:45至13:55</w:t>
      </w:r>
      <w:r>
        <w:rPr>
          <w:rFonts w:hint="eastAsia" w:ascii="仿宋_GB2312" w:hAnsi="仿宋_GB2312" w:eastAsia="仿宋_GB2312" w:cs="仿宋_GB2312"/>
          <w:color w:val="auto"/>
          <w:sz w:val="32"/>
          <w:szCs w:val="32"/>
          <w:u w:val="none"/>
          <w:lang w:val="en-US" w:eastAsia="zh-CN"/>
        </w:rPr>
        <w:t>签到</w:t>
      </w:r>
    </w:p>
    <w:p>
      <w:pPr>
        <w:numPr>
          <w:ilvl w:val="0"/>
          <w:numId w:val="0"/>
        </w:numPr>
        <w:ind w:firstLine="64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二、论证的地点</w:t>
      </w:r>
    </w:p>
    <w:p>
      <w:pPr>
        <w:numPr>
          <w:ilvl w:val="0"/>
          <w:numId w:val="0"/>
        </w:numPr>
        <w:ind w:firstLine="64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威海市立第三医院</w:t>
      </w:r>
      <w:r>
        <w:rPr>
          <w:rFonts w:hint="eastAsia" w:ascii="仿宋_GB2312" w:hAnsi="仿宋_GB2312" w:eastAsia="仿宋_GB2312" w:cs="仿宋_GB2312"/>
          <w:sz w:val="32"/>
          <w:szCs w:val="32"/>
          <w:u w:val="single"/>
          <w:lang w:val="en-US" w:eastAsia="zh-CN"/>
        </w:rPr>
        <w:t>三楼西区第二会议室</w:t>
      </w:r>
    </w:p>
    <w:p>
      <w:pPr>
        <w:numPr>
          <w:ilvl w:val="0"/>
          <w:numId w:val="0"/>
        </w:numPr>
        <w:ind w:firstLine="640"/>
        <w:rPr>
          <w:rFonts w:hint="eastAsia" w:ascii="仿宋_GB2312" w:hAnsi="仿宋_GB2312" w:eastAsia="仿宋_GB2312" w:cs="仿宋_GB2312"/>
          <w:b/>
          <w:bCs/>
          <w:color w:val="auto"/>
          <w:sz w:val="32"/>
          <w:szCs w:val="32"/>
          <w:u w:val="none"/>
          <w:lang w:val="en-US" w:eastAsia="zh-CN"/>
        </w:rPr>
      </w:pPr>
      <w:r>
        <w:rPr>
          <w:rFonts w:hint="eastAsia" w:ascii="仿宋_GB2312" w:hAnsi="仿宋_GB2312" w:eastAsia="仿宋_GB2312" w:cs="仿宋_GB2312"/>
          <w:b/>
          <w:bCs/>
          <w:sz w:val="32"/>
          <w:szCs w:val="32"/>
          <w:u w:val="none"/>
          <w:lang w:val="en-US" w:eastAsia="zh-CN"/>
        </w:rPr>
        <w:t>三、论证的内容</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医院超融合平台资源池扩容项目，主要内容见</w:t>
      </w:r>
      <w:r>
        <w:rPr>
          <w:rFonts w:hint="eastAsia" w:ascii="仿宋_GB2312" w:hAnsi="仿宋_GB2312" w:eastAsia="仿宋_GB2312" w:cs="仿宋_GB2312"/>
          <w:color w:val="auto"/>
          <w:sz w:val="32"/>
          <w:szCs w:val="32"/>
          <w:u w:val="single"/>
          <w:lang w:val="en-US" w:eastAsia="zh-CN"/>
        </w:rPr>
        <w:t>附件5</w:t>
      </w:r>
      <w:r>
        <w:rPr>
          <w:rFonts w:hint="eastAsia" w:ascii="仿宋_GB2312" w:hAnsi="仿宋_GB2312" w:eastAsia="仿宋_GB2312" w:cs="仿宋_GB2312"/>
          <w:color w:val="auto"/>
          <w:sz w:val="32"/>
          <w:szCs w:val="32"/>
          <w:u w:val="none"/>
          <w:lang w:val="en-US" w:eastAsia="zh-CN"/>
        </w:rPr>
        <w:t>《超融合平台资源池扩容项目要求》。</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项目付款方式为验收合格之日起60日内支付总价款的90%，其他10%作为质保金于验收合格后一年内付清。</w:t>
      </w:r>
    </w:p>
    <w:p>
      <w:pPr>
        <w:keepNext w:val="0"/>
        <w:keepLines w:val="0"/>
        <w:pageBreakBefore w:val="0"/>
        <w:widowControl w:val="0"/>
        <w:kinsoku/>
        <w:wordWrap/>
        <w:overflowPunct/>
        <w:topLinePunct w:val="0"/>
        <w:autoSpaceDE/>
        <w:autoSpaceDN/>
        <w:bidi w:val="0"/>
        <w:adjustRightInd/>
        <w:snapToGrid/>
        <w:spacing w:line="240" w:lineRule="atLeas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四、论证的报名</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拟参加的供应商应当于</w:t>
      </w:r>
      <w:r>
        <w:rPr>
          <w:rFonts w:hint="eastAsia" w:ascii="仿宋_GB2312" w:hAnsi="仿宋_GB2312" w:eastAsia="仿宋_GB2312" w:cs="仿宋_GB2312"/>
          <w:color w:val="auto"/>
          <w:sz w:val="32"/>
          <w:szCs w:val="32"/>
          <w:u w:val="single"/>
          <w:lang w:val="en-US" w:eastAsia="zh-CN"/>
        </w:rPr>
        <w:t xml:space="preserve"> 2023年10月31日17:00</w:t>
      </w:r>
      <w:r>
        <w:rPr>
          <w:rFonts w:hint="eastAsia" w:ascii="仿宋_GB2312" w:hAnsi="仿宋_GB2312" w:eastAsia="仿宋_GB2312" w:cs="仿宋_GB2312"/>
          <w:color w:val="auto"/>
          <w:sz w:val="32"/>
          <w:szCs w:val="32"/>
          <w:lang w:val="en-US" w:eastAsia="zh-CN"/>
        </w:rPr>
        <w:t>前派员持公司</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营业执照</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复印件和</w:t>
      </w:r>
      <w:r>
        <w:rPr>
          <w:rFonts w:hint="eastAsia" w:ascii="仿宋_GB2312" w:hAnsi="仿宋_GB2312" w:eastAsia="仿宋_GB2312" w:cs="仿宋_GB2312"/>
          <w:color w:val="auto"/>
          <w:sz w:val="32"/>
          <w:szCs w:val="32"/>
          <w:u w:val="single"/>
          <w:lang w:val="en-US" w:eastAsia="zh-CN"/>
        </w:rPr>
        <w:t>附件1</w:t>
      </w:r>
      <w:r>
        <w:rPr>
          <w:rFonts w:hint="eastAsia" w:ascii="仿宋_GB2312" w:hAnsi="仿宋_GB2312" w:eastAsia="仿宋_GB2312" w:cs="仿宋_GB2312"/>
          <w:color w:val="auto"/>
          <w:sz w:val="32"/>
          <w:szCs w:val="32"/>
          <w:lang w:val="en-US" w:eastAsia="zh-CN"/>
        </w:rPr>
        <w:t>《报名信息表》各1份到医院招标办报名。</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五、论证的目的与方式</w:t>
      </w:r>
    </w:p>
    <w:p>
      <w:pPr>
        <w:numPr>
          <w:ilvl w:val="0"/>
          <w:numId w:val="0"/>
        </w:numPr>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通过与供应商进行沟通与谈判，掌握相关产品与服务的质量层次、价格水平、配置方案、保障体系、市场应用等相关信息，为未来实施采购提供标准和依据。</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论证参照竞争性蹉商方式，</w:t>
      </w:r>
      <w:r>
        <w:rPr>
          <w:rFonts w:hint="eastAsia" w:ascii="仿宋_GB2312" w:hAnsi="仿宋_GB2312" w:eastAsia="仿宋_GB2312" w:cs="仿宋_GB2312"/>
          <w:sz w:val="32"/>
          <w:szCs w:val="32"/>
          <w:lang w:val="en-US" w:eastAsia="zh-CN"/>
        </w:rPr>
        <w:t>商谈的顺序按照报名的先后顺序反向进行。</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供应商不可就本项目的全部或者部分提供超过一种方案要求医院实施选择。</w:t>
      </w:r>
    </w:p>
    <w:p>
      <w:pPr>
        <w:numPr>
          <w:ilvl w:val="0"/>
          <w:numId w:val="0"/>
        </w:numPr>
        <w:ind w:firstLine="64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六、论证现场需要的资料</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（一）供应商资质</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lang w:val="en-US" w:eastAsia="zh-CN"/>
        </w:rPr>
        <w:t>1.</w:t>
      </w:r>
      <w:r>
        <w:rPr>
          <w:rFonts w:hint="eastAsia" w:ascii="仿宋_GB2312" w:eastAsia="仿宋_GB2312"/>
          <w:color w:val="auto"/>
          <w:sz w:val="32"/>
          <w:szCs w:val="32"/>
          <w:lang w:eastAsia="zh-CN"/>
        </w:rPr>
        <w:t>《</w:t>
      </w:r>
      <w:r>
        <w:rPr>
          <w:rFonts w:hint="eastAsia" w:ascii="仿宋_GB2312" w:eastAsia="仿宋_GB2312"/>
          <w:color w:val="auto"/>
          <w:sz w:val="32"/>
          <w:szCs w:val="32"/>
        </w:rPr>
        <w:t>营业执照</w:t>
      </w:r>
      <w:r>
        <w:rPr>
          <w:rFonts w:hint="eastAsia" w:ascii="仿宋_GB2312" w:eastAsia="仿宋_GB2312"/>
          <w:color w:val="auto"/>
          <w:sz w:val="32"/>
          <w:szCs w:val="32"/>
          <w:lang w:eastAsia="zh-CN"/>
        </w:rPr>
        <w:t>》</w:t>
      </w:r>
      <w:r>
        <w:rPr>
          <w:rFonts w:hint="eastAsia" w:ascii="仿宋_GB2312" w:eastAsia="仿宋_GB2312"/>
          <w:color w:val="auto"/>
          <w:sz w:val="32"/>
          <w:szCs w:val="32"/>
        </w:rPr>
        <w:t>复印件</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份</w:t>
      </w:r>
    </w:p>
    <w:p>
      <w:pPr>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2.如，服务属于经营行政许可管理或者经营强制认证管理的，提供相关资质复印件1份</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（二）参与人员资质</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u w:val="single"/>
          <w:lang w:val="en-US" w:eastAsia="zh-CN"/>
        </w:rPr>
        <w:t>附件2</w:t>
      </w:r>
      <w:r>
        <w:rPr>
          <w:rFonts w:hint="eastAsia" w:ascii="仿宋_GB2312" w:hAnsi="仿宋_GB2312" w:eastAsia="仿宋_GB2312" w:cs="仿宋_GB2312"/>
          <w:color w:val="auto"/>
          <w:sz w:val="32"/>
          <w:szCs w:val="32"/>
          <w:lang w:val="en-US" w:eastAsia="zh-CN"/>
        </w:rPr>
        <w:t>格式的《法人授权委托书》1份</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（三）报价单</w:t>
      </w:r>
    </w:p>
    <w:p>
      <w:pPr>
        <w:ind w:firstLine="640" w:firstLineChars="200"/>
        <w:rPr>
          <w:rFonts w:hint="eastAsia" w:ascii="仿宋_GB2312" w:eastAsia="仿宋_GB2312"/>
          <w:color w:val="auto"/>
          <w:sz w:val="32"/>
          <w:szCs w:val="32"/>
          <w:u w:val="none"/>
          <w:lang w:val="en-US" w:eastAsia="zh-CN"/>
        </w:rPr>
      </w:pPr>
      <w:r>
        <w:rPr>
          <w:rFonts w:hint="eastAsia" w:ascii="仿宋_GB2312" w:eastAsia="仿宋_GB2312"/>
          <w:color w:val="auto"/>
          <w:sz w:val="32"/>
          <w:szCs w:val="32"/>
          <w:u w:val="single"/>
          <w:lang w:val="en-US" w:eastAsia="zh-CN"/>
        </w:rPr>
        <w:t>附件3</w:t>
      </w:r>
      <w:r>
        <w:rPr>
          <w:rFonts w:hint="eastAsia" w:ascii="仿宋_GB2312" w:hAnsi="仿宋_GB2312" w:eastAsia="仿宋_GB2312" w:cs="仿宋_GB2312"/>
          <w:color w:val="auto"/>
          <w:sz w:val="32"/>
          <w:szCs w:val="32"/>
          <w:lang w:val="en-US" w:eastAsia="zh-CN"/>
        </w:rPr>
        <w:t>格式的</w:t>
      </w:r>
      <w:r>
        <w:rPr>
          <w:rFonts w:hint="eastAsia" w:ascii="仿宋_GB2312" w:eastAsia="仿宋_GB2312"/>
          <w:color w:val="auto"/>
          <w:sz w:val="32"/>
          <w:szCs w:val="32"/>
          <w:lang w:val="en-US" w:eastAsia="zh-CN"/>
        </w:rPr>
        <w:t>《报价单》3份</w:t>
      </w:r>
    </w:p>
    <w:p>
      <w:pPr>
        <w:ind w:firstLine="643" w:firstLineChars="200"/>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b/>
          <w:bCs/>
          <w:color w:val="auto"/>
          <w:sz w:val="32"/>
          <w:szCs w:val="32"/>
          <w:lang w:val="en-US" w:eastAsia="zh-CN"/>
        </w:rPr>
        <w:t>（四）市场应用</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eastAsia="仿宋_GB2312"/>
          <w:color w:val="auto"/>
          <w:sz w:val="32"/>
          <w:szCs w:val="32"/>
          <w:u w:val="single"/>
          <w:lang w:val="en-US" w:eastAsia="zh-CN"/>
        </w:rPr>
        <w:t>附件4</w:t>
      </w:r>
      <w:r>
        <w:rPr>
          <w:rFonts w:hint="eastAsia" w:ascii="仿宋_GB2312" w:eastAsia="仿宋_GB2312"/>
          <w:color w:val="auto"/>
          <w:sz w:val="32"/>
          <w:szCs w:val="32"/>
          <w:lang w:val="en-US" w:eastAsia="zh-CN"/>
        </w:rPr>
        <w:t>格式的供应商《市场应用情况表》3份（顺序为威海区域在前，其他区域在后，数量不超过20家）</w:t>
      </w:r>
    </w:p>
    <w:p>
      <w:pPr>
        <w:ind w:firstLine="643" w:firstLineChars="200"/>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五）产品优势/服务方案与质量保障措施</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u w:val="single"/>
          <w:lang w:val="en-US" w:eastAsia="zh-CN"/>
        </w:rPr>
        <w:t>自定义</w:t>
      </w:r>
      <w:r>
        <w:rPr>
          <w:rFonts w:hint="eastAsia" w:ascii="仿宋_GB2312" w:hAnsi="仿宋_GB2312" w:eastAsia="仿宋_GB2312" w:cs="仿宋_GB2312"/>
          <w:color w:val="auto"/>
          <w:sz w:val="32"/>
          <w:szCs w:val="32"/>
          <w:lang w:val="en-US" w:eastAsia="zh-CN"/>
        </w:rPr>
        <w:t>格式A4纸</w:t>
      </w:r>
      <w:r>
        <w:rPr>
          <w:rFonts w:hint="eastAsia" w:ascii="仿宋_GB2312" w:hAnsi="仿宋_GB2312" w:eastAsia="仿宋_GB2312" w:cs="仿宋_GB2312"/>
          <w:b w:val="0"/>
          <w:bCs w:val="0"/>
          <w:color w:val="auto"/>
          <w:sz w:val="32"/>
          <w:szCs w:val="32"/>
          <w:u w:val="single"/>
          <w:lang w:val="en-US" w:eastAsia="zh-CN"/>
        </w:rPr>
        <w:t>正反面打印</w:t>
      </w:r>
      <w:r>
        <w:rPr>
          <w:rFonts w:hint="eastAsia" w:ascii="仿宋_GB2312" w:hAnsi="仿宋_GB2312" w:eastAsia="仿宋_GB2312" w:cs="仿宋_GB2312"/>
          <w:color w:val="auto"/>
          <w:sz w:val="32"/>
          <w:szCs w:val="32"/>
          <w:lang w:val="en-US" w:eastAsia="zh-CN"/>
        </w:rPr>
        <w:t>的《产品优势/服务方案与质量保障措施》3份</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（六）其他资料</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原则上不需提供其他资料，但如果供</w:t>
      </w:r>
      <w:r>
        <w:rPr>
          <w:rFonts w:hint="eastAsia" w:ascii="仿宋_GB2312" w:hAnsi="仿宋_GB2312" w:eastAsia="仿宋_GB2312" w:cs="仿宋_GB2312"/>
          <w:sz w:val="32"/>
          <w:szCs w:val="32"/>
          <w:lang w:val="en-US" w:eastAsia="zh-CN"/>
        </w:rPr>
        <w:t>应商认为确有必要追加提供的，可提供不超过2种、每种1份的其他资料</w:t>
      </w:r>
    </w:p>
    <w:p>
      <w:pPr>
        <w:ind w:firstLine="643"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注意：</w:t>
      </w:r>
      <w:r>
        <w:rPr>
          <w:rFonts w:hint="eastAsia" w:ascii="仿宋_GB2312" w:hAnsi="仿宋_GB2312" w:eastAsia="仿宋_GB2312" w:cs="仿宋_GB2312"/>
          <w:b w:val="0"/>
          <w:bCs w:val="0"/>
          <w:sz w:val="32"/>
          <w:szCs w:val="32"/>
          <w:lang w:val="en-US" w:eastAsia="zh-CN"/>
        </w:rPr>
        <w:t>以上（一）至（六）严格按照要求的种类、数量、顺序整理为一套资料（严禁乱提供非本函要求的资料），每页加盖供应商的红章，使用</w:t>
      </w:r>
      <w:r>
        <w:rPr>
          <w:rFonts w:hint="eastAsia" w:ascii="仿宋_GB2312" w:hAnsi="仿宋_GB2312" w:eastAsia="仿宋_GB2312" w:cs="仿宋_GB2312"/>
          <w:b w:val="0"/>
          <w:bCs w:val="0"/>
          <w:color w:val="auto"/>
          <w:sz w:val="32"/>
          <w:szCs w:val="32"/>
          <w:lang w:val="en-US" w:eastAsia="zh-CN"/>
        </w:rPr>
        <w:t>长尾夹固定。</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七、其他事项要求</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（一）医院接受供应商在论证前的合理时间来院勘查与咨询，但在来院前需要与医院招标办联系确定相关事宜。</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（二）供应商报名结束后，医院将通过天眼查商业查询平台进行查询，发现供应商之间有出资、隶属、关联或者实际控制关系的，保留先报名供应商的参与资格，取消后报名供应商的参与资格并电话告知。</w:t>
      </w:r>
      <w:bookmarkStart w:id="0" w:name="_GoBack"/>
      <w:bookmarkEnd w:id="0"/>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八、联系人与联系方式</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联系人：王博</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电  话：0631-5960192</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邮  箱：</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"mailto:slsysbk@163.com"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slsyzbb@163.com</w:t>
      </w:r>
      <w:r>
        <w:rPr>
          <w:rFonts w:hint="eastAsia" w:ascii="仿宋_GB2312" w:hAnsi="仿宋_GB2312" w:eastAsia="仿宋_GB2312" w:cs="仿宋_GB2312"/>
          <w:sz w:val="32"/>
          <w:szCs w:val="32"/>
          <w:lang w:val="en-US" w:eastAsia="zh-CN"/>
        </w:rPr>
        <w:fldChar w:fldCharType="end"/>
      </w:r>
    </w:p>
    <w:p>
      <w:pPr>
        <w:ind w:firstLine="640" w:firstLineChars="200"/>
        <w:rPr>
          <w:rFonts w:hint="eastAsia" w:ascii="仿宋_GB2312" w:hAnsi="仿宋_GB2312" w:eastAsia="仿宋_GB2312" w:cs="仿宋_GB2312"/>
          <w:b w:val="0"/>
          <w:bCs w:val="0"/>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附件：1.</w:t>
      </w:r>
      <w:r>
        <w:rPr>
          <w:rFonts w:hint="eastAsia" w:ascii="仿宋_GB2312" w:hAnsi="仿宋_GB2312" w:eastAsia="仿宋_GB2312" w:cs="仿宋_GB2312"/>
          <w:sz w:val="32"/>
          <w:szCs w:val="32"/>
          <w:lang w:val="en-US" w:eastAsia="zh-CN"/>
        </w:rPr>
        <w:t>报名信息表</w:t>
      </w:r>
    </w:p>
    <w:p>
      <w:pPr>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2.法人授权委托书</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3.报价单</w:t>
      </w:r>
    </w:p>
    <w:p>
      <w:pPr>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4.市场应用情况表</w:t>
      </w:r>
    </w:p>
    <w:p>
      <w:pPr>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5.超融合平台资源池扩容项目要求</w:t>
      </w:r>
    </w:p>
    <w:p>
      <w:pPr>
        <w:ind w:firstLine="1600" w:firstLineChars="500"/>
        <w:rPr>
          <w:rFonts w:hint="eastAsia" w:ascii="仿宋_GB2312" w:hAnsi="仿宋_GB2312" w:eastAsia="仿宋_GB2312" w:cs="仿宋_GB2312"/>
          <w:sz w:val="32"/>
          <w:szCs w:val="32"/>
          <w:lang w:val="en-US" w:eastAsia="zh-CN"/>
        </w:rPr>
      </w:pPr>
    </w:p>
    <w:p>
      <w:pPr>
        <w:ind w:firstLine="1600" w:firstLineChars="500"/>
        <w:rPr>
          <w:rFonts w:hint="eastAsia" w:ascii="仿宋_GB2312" w:hAnsi="仿宋_GB2312" w:eastAsia="仿宋_GB2312" w:cs="仿宋_GB2312"/>
          <w:sz w:val="32"/>
          <w:szCs w:val="32"/>
          <w:lang w:val="en-US" w:eastAsia="zh-CN"/>
        </w:rPr>
      </w:pPr>
    </w:p>
    <w:p>
      <w:pPr>
        <w:ind w:firstLine="4480" w:firstLineChars="14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威海市立第三医院</w:t>
      </w:r>
    </w:p>
    <w:p>
      <w:pPr>
        <w:ind w:firstLine="4480" w:firstLineChars="1400"/>
        <w:rPr>
          <w:rFonts w:hint="eastAsia" w:ascii="仿宋_GB2312" w:hAnsi="仿宋_GB2312" w:eastAsia="仿宋_GB2312" w:cs="仿宋_GB2312"/>
          <w:b w:val="0"/>
          <w:bCs w:val="0"/>
          <w:color w:val="auto"/>
          <w:sz w:val="32"/>
          <w:szCs w:val="32"/>
          <w:u w:val="single"/>
          <w:lang w:val="en-US" w:eastAsia="zh-CN"/>
        </w:rPr>
      </w:pPr>
      <w:r>
        <w:rPr>
          <w:rFonts w:hint="eastAsia" w:ascii="仿宋_GB2312" w:hAnsi="仿宋_GB2312" w:eastAsia="仿宋_GB2312" w:cs="仿宋_GB2312"/>
          <w:b w:val="0"/>
          <w:bCs w:val="0"/>
          <w:color w:val="auto"/>
          <w:sz w:val="32"/>
          <w:szCs w:val="32"/>
          <w:u w:val="single"/>
          <w:lang w:val="en-US" w:eastAsia="zh-CN"/>
        </w:rPr>
        <w:t>2023年10月23日</w:t>
      </w:r>
    </w:p>
    <w:p>
      <w:pPr>
        <w:rPr>
          <w:rFonts w:hint="eastAsia" w:ascii="仿宋_GB2312" w:hAnsi="仿宋_GB2312" w:eastAsia="仿宋_GB2312" w:cs="仿宋_GB2312"/>
          <w:b w:val="0"/>
          <w:bCs w:val="0"/>
          <w:color w:val="auto"/>
          <w:sz w:val="32"/>
          <w:szCs w:val="32"/>
          <w:u w:val="single"/>
          <w:lang w:val="en-US" w:eastAsia="zh-CN"/>
        </w:rPr>
      </w:pPr>
      <w:r>
        <w:rPr>
          <w:rFonts w:hint="eastAsia" w:ascii="仿宋_GB2312" w:hAnsi="仿宋_GB2312" w:eastAsia="仿宋_GB2312" w:cs="仿宋_GB2312"/>
          <w:b w:val="0"/>
          <w:bCs w:val="0"/>
          <w:color w:val="auto"/>
          <w:sz w:val="32"/>
          <w:szCs w:val="32"/>
          <w:u w:val="single"/>
          <w:lang w:val="en-US" w:eastAsia="zh-CN"/>
        </w:rPr>
        <w:br w:type="page"/>
      </w:r>
    </w:p>
    <w:p>
      <w:pPr>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32"/>
          <w:szCs w:val="32"/>
          <w:lang w:val="en-US" w:eastAsia="zh-CN"/>
        </w:rPr>
        <w:t>附件1</w:t>
      </w:r>
    </w:p>
    <w:p>
      <w:pPr>
        <w:jc w:val="center"/>
        <w:rPr>
          <w:rFonts w:hint="eastAsia" w:ascii="方正小标宋简体" w:hAnsi="方正小标宋简体" w:eastAsia="方正小标宋简体" w:cs="方正小标宋简体"/>
          <w:b w:val="0"/>
          <w:bCs/>
          <w:sz w:val="44"/>
          <w:szCs w:val="44"/>
          <w:lang w:val="en-US"/>
        </w:rPr>
      </w:pPr>
      <w:r>
        <w:rPr>
          <w:rFonts w:hint="eastAsia" w:ascii="方正小标宋简体" w:hAnsi="方正小标宋简体" w:eastAsia="方正小标宋简体" w:cs="方正小标宋简体"/>
          <w:b w:val="0"/>
          <w:bCs/>
          <w:sz w:val="44"/>
          <w:szCs w:val="44"/>
          <w:lang w:val="en-US" w:eastAsia="zh-CN"/>
        </w:rPr>
        <w:t>报名信息表</w:t>
      </w:r>
    </w:p>
    <w:p>
      <w:pPr>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编号</w:t>
      </w:r>
      <w:r>
        <w:rPr>
          <w:rFonts w:hint="eastAsia" w:ascii="仿宋_GB2312" w:hAnsi="仿宋_GB2312" w:eastAsia="仿宋_GB2312" w:cs="仿宋_GB2312"/>
          <w:sz w:val="28"/>
          <w:szCs w:val="28"/>
        </w:rPr>
        <w:t>：</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名称：</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以下为具体报名信息</w:t>
      </w:r>
    </w:p>
    <w:tbl>
      <w:tblPr>
        <w:tblStyle w:val="10"/>
        <w:tblW w:w="78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1"/>
        <w:gridCol w:w="5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报名日期</w:t>
            </w:r>
          </w:p>
        </w:tc>
        <w:tc>
          <w:tcPr>
            <w:tcW w:w="5355" w:type="dxa"/>
            <w:vAlign w:val="center"/>
          </w:tcPr>
          <w:p>
            <w:pPr>
              <w:jc w:val="center"/>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公司全称</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办公固话</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电子信箱</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公司地址</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联系人</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手机号码</w:t>
            </w:r>
          </w:p>
        </w:tc>
        <w:tc>
          <w:tcPr>
            <w:tcW w:w="5355" w:type="dxa"/>
            <w:vAlign w:val="center"/>
          </w:tcPr>
          <w:p>
            <w:pPr>
              <w:jc w:val="center"/>
              <w:rPr>
                <w:rFonts w:hint="eastAsia" w:ascii="仿宋_GB2312" w:hAnsi="仿宋_GB2312" w:eastAsia="仿宋_GB2312" w:cs="仿宋_GB2312"/>
                <w:sz w:val="28"/>
                <w:szCs w:val="28"/>
              </w:rPr>
            </w:pPr>
          </w:p>
        </w:tc>
      </w:tr>
    </w:tbl>
    <w:p>
      <w:pPr>
        <w:rPr>
          <w:rFonts w:hint="eastAsia"/>
          <w:lang w:val="en-US" w:eastAsia="zh-CN"/>
        </w:rPr>
      </w:pPr>
      <w:r>
        <w:rPr>
          <w:rFonts w:hint="eastAsia"/>
          <w:lang w:val="en-US" w:eastAsia="zh-CN"/>
        </w:rPr>
        <w:br w:type="page"/>
      </w:r>
    </w:p>
    <w:p>
      <w:pPr>
        <w:pStyle w:val="5"/>
        <w:spacing w:line="520" w:lineRule="exact"/>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附件2</w:t>
      </w:r>
    </w:p>
    <w:p>
      <w:pPr>
        <w:pStyle w:val="5"/>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bCs w:val="0"/>
          <w:sz w:val="44"/>
          <w:szCs w:val="44"/>
        </w:rPr>
      </w:pPr>
      <w:r>
        <w:rPr>
          <w:rFonts w:hint="eastAsia" w:ascii="仿宋_GB2312" w:hAnsi="仿宋_GB2312" w:eastAsia="仿宋_GB2312" w:cs="仿宋_GB2312"/>
          <w:b/>
          <w:bCs w:val="0"/>
          <w:sz w:val="44"/>
          <w:szCs w:val="44"/>
        </w:rPr>
        <w:t>法人授权委托书</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rPr>
      </w:pPr>
      <w:r>
        <w:rPr>
          <w:rFonts w:hint="eastAsia" w:ascii="仿宋_GB2312" w:eastAsia="仿宋_GB2312"/>
          <w:sz w:val="32"/>
          <w:szCs w:val="32"/>
        </w:rPr>
        <w:t>本授权书声明：</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（公司名称）</w:t>
      </w:r>
      <w:r>
        <w:rPr>
          <w:rFonts w:hint="eastAsia" w:ascii="仿宋_GB2312" w:eastAsia="仿宋_GB2312"/>
          <w:sz w:val="32"/>
          <w:szCs w:val="32"/>
        </w:rPr>
        <w:t>法</w:t>
      </w:r>
      <w:r>
        <w:rPr>
          <w:rFonts w:hint="eastAsia" w:ascii="仿宋_GB2312" w:eastAsia="仿宋_GB2312"/>
          <w:sz w:val="32"/>
          <w:szCs w:val="32"/>
          <w:lang w:val="en-US" w:eastAsia="zh-CN"/>
        </w:rPr>
        <w:t>定代表人</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（姓名）</w:t>
      </w:r>
      <w:r>
        <w:rPr>
          <w:rFonts w:hint="eastAsia" w:ascii="仿宋_GB2312" w:eastAsia="仿宋_GB2312"/>
          <w:sz w:val="32"/>
          <w:szCs w:val="32"/>
        </w:rPr>
        <w:t>，代表本</w:t>
      </w:r>
      <w:r>
        <w:rPr>
          <w:rFonts w:hint="eastAsia" w:ascii="仿宋_GB2312" w:eastAsia="仿宋_GB2312"/>
          <w:sz w:val="32"/>
          <w:szCs w:val="32"/>
          <w:lang w:val="en-US" w:eastAsia="zh-CN"/>
        </w:rPr>
        <w:t>公司</w:t>
      </w:r>
      <w:r>
        <w:rPr>
          <w:rFonts w:hint="eastAsia" w:ascii="仿宋_GB2312" w:eastAsia="仿宋_GB2312"/>
          <w:sz w:val="32"/>
          <w:szCs w:val="32"/>
        </w:rPr>
        <w:t>授权</w:t>
      </w:r>
      <w:r>
        <w:rPr>
          <w:rFonts w:hint="eastAsia" w:ascii="仿宋_GB2312" w:eastAsia="仿宋_GB2312"/>
          <w:sz w:val="32"/>
          <w:szCs w:val="32"/>
          <w:u w:val="single"/>
          <w:lang w:val="en-US" w:eastAsia="zh-CN"/>
        </w:rPr>
        <w:t xml:space="preserve">        </w:t>
      </w:r>
      <w:r>
        <w:rPr>
          <w:rFonts w:hint="eastAsia" w:ascii="仿宋_GB2312" w:eastAsia="仿宋_GB2312"/>
          <w:sz w:val="32"/>
          <w:szCs w:val="32"/>
          <w:lang w:eastAsia="zh-CN"/>
        </w:rPr>
        <w:t>（</w:t>
      </w:r>
      <w:r>
        <w:rPr>
          <w:rFonts w:hint="eastAsia" w:ascii="仿宋_GB2312" w:eastAsia="仿宋_GB2312"/>
          <w:sz w:val="32"/>
          <w:szCs w:val="32"/>
          <w:lang w:val="en-US" w:eastAsia="zh-CN"/>
        </w:rPr>
        <w:t>姓名）为</w:t>
      </w:r>
      <w:r>
        <w:rPr>
          <w:rFonts w:hint="eastAsia" w:ascii="仿宋_GB2312" w:eastAsia="仿宋_GB2312"/>
          <w:sz w:val="32"/>
          <w:szCs w:val="32"/>
        </w:rPr>
        <w:t>本</w:t>
      </w:r>
      <w:r>
        <w:rPr>
          <w:rFonts w:hint="eastAsia" w:ascii="仿宋_GB2312" w:eastAsia="仿宋_GB2312"/>
          <w:sz w:val="32"/>
          <w:szCs w:val="32"/>
          <w:lang w:val="en-US" w:eastAsia="zh-CN"/>
        </w:rPr>
        <w:t>公司</w:t>
      </w:r>
      <w:r>
        <w:rPr>
          <w:rFonts w:hint="eastAsia" w:ascii="仿宋_GB2312" w:eastAsia="仿宋_GB2312"/>
          <w:sz w:val="32"/>
          <w:szCs w:val="32"/>
        </w:rPr>
        <w:t>的合法代理人，参加</w:t>
      </w:r>
      <w:r>
        <w:rPr>
          <w:rFonts w:hint="eastAsia" w:ascii="仿宋_GB2312" w:eastAsia="仿宋_GB2312"/>
          <w:sz w:val="32"/>
          <w:szCs w:val="32"/>
          <w:lang w:val="en-US" w:eastAsia="zh-CN"/>
        </w:rPr>
        <w:t>威海市立第三医院</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（项目编号）项目的论证，并</w:t>
      </w:r>
      <w:r>
        <w:rPr>
          <w:rFonts w:hint="eastAsia" w:ascii="仿宋_GB2312" w:eastAsia="仿宋_GB2312"/>
          <w:sz w:val="32"/>
          <w:szCs w:val="32"/>
        </w:rPr>
        <w:t>以本</w:t>
      </w:r>
      <w:r>
        <w:rPr>
          <w:rFonts w:hint="eastAsia" w:ascii="仿宋_GB2312" w:eastAsia="仿宋_GB2312"/>
          <w:sz w:val="32"/>
          <w:szCs w:val="32"/>
          <w:lang w:val="en-US" w:eastAsia="zh-CN"/>
        </w:rPr>
        <w:t>公司</w:t>
      </w:r>
      <w:r>
        <w:rPr>
          <w:rFonts w:hint="eastAsia" w:ascii="仿宋_GB2312" w:eastAsia="仿宋_GB2312"/>
          <w:sz w:val="32"/>
          <w:szCs w:val="32"/>
        </w:rPr>
        <w:t>名义处理一切与之有关的事宜。</w:t>
      </w: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本公司已充分理解本项目</w:t>
      </w:r>
      <w:r>
        <w:rPr>
          <w:rFonts w:hint="eastAsia" w:ascii="仿宋_GB2312" w:eastAsia="仿宋_GB2312"/>
          <w:sz w:val="32"/>
          <w:szCs w:val="32"/>
          <w:u w:val="none"/>
          <w:lang w:val="en-US" w:eastAsia="zh-CN"/>
        </w:rPr>
        <w:t>邀请函的</w:t>
      </w:r>
      <w:r>
        <w:rPr>
          <w:rFonts w:hint="eastAsia" w:ascii="仿宋_GB2312" w:eastAsia="仿宋_GB2312"/>
          <w:sz w:val="32"/>
          <w:szCs w:val="32"/>
          <w:lang w:val="en-US" w:eastAsia="zh-CN"/>
        </w:rPr>
        <w:t>全部内容，并承担因理解错误所导致的不利后果。</w:t>
      </w: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627" w:firstLineChars="196"/>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w:t>
      </w:r>
      <w:r>
        <w:rPr>
          <w:rFonts w:hint="eastAsia" w:ascii="仿宋_GB2312" w:hAnsi="仿宋_GB2312" w:eastAsia="仿宋_GB2312" w:cs="仿宋_GB2312"/>
          <w:sz w:val="32"/>
          <w:szCs w:val="32"/>
          <w:lang w:val="en-US" w:eastAsia="zh-CN"/>
        </w:rPr>
        <w:t>定</w:t>
      </w:r>
      <w:r>
        <w:rPr>
          <w:rFonts w:hint="eastAsia" w:ascii="仿宋_GB2312" w:hAnsi="仿宋_GB2312" w:eastAsia="仿宋_GB2312" w:cs="仿宋_GB2312"/>
          <w:sz w:val="32"/>
          <w:szCs w:val="32"/>
        </w:rPr>
        <w:t>代表</w:t>
      </w:r>
      <w:r>
        <w:rPr>
          <w:rFonts w:hint="eastAsia" w:ascii="仿宋_GB2312" w:hAnsi="仿宋_GB2312" w:eastAsia="仿宋_GB2312" w:cs="仿宋_GB2312"/>
          <w:sz w:val="32"/>
          <w:szCs w:val="32"/>
          <w:lang w:val="en-US" w:eastAsia="zh-CN"/>
        </w:rPr>
        <w:t>人</w:t>
      </w:r>
      <w:r>
        <w:rPr>
          <w:rFonts w:hint="eastAsia" w:ascii="仿宋_GB2312" w:hAnsi="仿宋_GB2312" w:eastAsia="仿宋_GB2312" w:cs="仿宋_GB2312"/>
          <w:sz w:val="32"/>
          <w:szCs w:val="32"/>
        </w:rPr>
        <w:t>签字：</w:t>
      </w:r>
      <w:r>
        <w:rPr>
          <w:rFonts w:hint="eastAsia" w:ascii="仿宋_GB2312" w:hAnsi="仿宋_GB2312" w:eastAsia="仿宋_GB2312" w:cs="仿宋_GB2312"/>
          <w:sz w:val="32"/>
          <w:szCs w:val="32"/>
          <w:u w:val="single"/>
        </w:rPr>
        <w:t xml:space="preserve">              </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u w:val="single"/>
          <w:lang w:val="en-US" w:eastAsia="zh-CN"/>
        </w:rPr>
        <w:t>授权单位在此处盖章</w:t>
      </w:r>
      <w:r>
        <w:rPr>
          <w:rFonts w:hint="eastAsia" w:ascii="仿宋_GB2312" w:hAnsi="仿宋_GB2312" w:eastAsia="仿宋_GB2312" w:cs="仿宋_GB2312"/>
          <w:sz w:val="32"/>
          <w:szCs w:val="32"/>
          <w:lang w:val="en-US" w:eastAsia="zh-CN"/>
        </w:rPr>
        <w:t>）</w:t>
      </w: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320" w:firstLineChars="10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被授权人签字：</w:t>
      </w:r>
      <w:r>
        <w:rPr>
          <w:rFonts w:hint="eastAsia" w:ascii="仿宋_GB2312" w:hAnsi="仿宋_GB2312" w:eastAsia="仿宋_GB2312" w:cs="仿宋_GB2312"/>
          <w:sz w:val="32"/>
          <w:szCs w:val="32"/>
          <w:u w:val="single"/>
        </w:rPr>
        <w:t xml:space="preserve">              </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被授权人身份证复印件粘贴于下框：</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0" w:hRule="atLeast"/>
        </w:trPr>
        <w:tc>
          <w:tcPr>
            <w:tcW w:w="8522" w:type="dxa"/>
          </w:tcPr>
          <w:p>
            <w:pPr>
              <w:pStyle w:val="5"/>
              <w:adjustRightInd w:val="0"/>
              <w:snapToGrid w:val="0"/>
              <w:spacing w:line="500" w:lineRule="exact"/>
              <w:rPr>
                <w:rFonts w:hint="eastAsia" w:ascii="仿宋_GB2312" w:hAnsi="仿宋_GB2312" w:eastAsia="仿宋_GB2312" w:cs="仿宋_GB2312"/>
                <w:sz w:val="32"/>
                <w:szCs w:val="32"/>
                <w:vertAlign w:val="baseline"/>
                <w:lang w:val="en-US" w:eastAsia="zh-CN"/>
              </w:rPr>
            </w:pPr>
          </w:p>
        </w:tc>
      </w:tr>
    </w:tbl>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br w:type="page"/>
      </w:r>
    </w:p>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附件3</w:t>
      </w:r>
    </w:p>
    <w:p>
      <w:pPr>
        <w:jc w:val="center"/>
        <w:rPr>
          <w:rFonts w:hint="eastAsia" w:ascii="仿宋_GB2312" w:hAnsi="仿宋_GB2312" w:eastAsia="仿宋_GB2312" w:cs="仿宋_GB2312"/>
          <w:b/>
          <w:bCs/>
          <w:color w:val="auto"/>
          <w:sz w:val="44"/>
          <w:szCs w:val="44"/>
          <w:lang w:val="en-US" w:eastAsia="zh-CN"/>
        </w:rPr>
      </w:pPr>
      <w:r>
        <w:rPr>
          <w:rFonts w:hint="eastAsia" w:ascii="仿宋_GB2312" w:hAnsi="仿宋_GB2312" w:eastAsia="仿宋_GB2312" w:cs="仿宋_GB2312"/>
          <w:b/>
          <w:bCs/>
          <w:color w:val="auto"/>
          <w:sz w:val="44"/>
          <w:szCs w:val="44"/>
          <w:lang w:val="en-US" w:eastAsia="zh-CN"/>
        </w:rPr>
        <w:t>报价单</w:t>
      </w:r>
    </w:p>
    <w:tbl>
      <w:tblPr>
        <w:tblStyle w:val="11"/>
        <w:tblW w:w="8712" w:type="dxa"/>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27"/>
        <w:gridCol w:w="2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5727" w:type="dxa"/>
            <w:vAlign w:val="center"/>
          </w:tcPr>
          <w:p>
            <w:pPr>
              <w:jc w:val="center"/>
              <w:rPr>
                <w:rFonts w:hint="eastAsia" w:ascii="仿宋_GB2312" w:hAnsi="仿宋_GB2312" w:eastAsia="仿宋_GB2312" w:cs="仿宋_GB2312"/>
                <w:b/>
                <w:bCs/>
                <w:color w:val="auto"/>
                <w:sz w:val="32"/>
                <w:szCs w:val="32"/>
                <w:vertAlign w:val="baseline"/>
                <w:lang w:val="en-US" w:eastAsia="zh-CN"/>
              </w:rPr>
            </w:pPr>
            <w:r>
              <w:rPr>
                <w:rFonts w:hint="eastAsia" w:ascii="仿宋_GB2312" w:hAnsi="仿宋_GB2312" w:eastAsia="仿宋_GB2312" w:cs="仿宋_GB2312"/>
                <w:b/>
                <w:bCs/>
                <w:color w:val="auto"/>
                <w:sz w:val="32"/>
                <w:szCs w:val="32"/>
                <w:vertAlign w:val="baseline"/>
                <w:lang w:val="en-US" w:eastAsia="zh-CN"/>
              </w:rPr>
              <w:t>名称</w:t>
            </w:r>
          </w:p>
        </w:tc>
        <w:tc>
          <w:tcPr>
            <w:tcW w:w="2985" w:type="dxa"/>
            <w:vAlign w:val="center"/>
          </w:tcPr>
          <w:p>
            <w:pPr>
              <w:jc w:val="center"/>
              <w:rPr>
                <w:rFonts w:hint="eastAsia" w:ascii="仿宋_GB2312" w:hAnsi="仿宋_GB2312" w:eastAsia="仿宋_GB2312" w:cs="仿宋_GB2312"/>
                <w:b/>
                <w:bCs/>
                <w:color w:val="auto"/>
                <w:sz w:val="32"/>
                <w:szCs w:val="32"/>
                <w:vertAlign w:val="baseline"/>
                <w:lang w:val="en-US" w:eastAsia="zh-CN"/>
              </w:rPr>
            </w:pPr>
            <w:r>
              <w:rPr>
                <w:rFonts w:hint="eastAsia" w:ascii="仿宋_GB2312" w:hAnsi="仿宋_GB2312" w:eastAsia="仿宋_GB2312" w:cs="仿宋_GB2312"/>
                <w:b/>
                <w:bCs/>
                <w:color w:val="auto"/>
                <w:sz w:val="32"/>
                <w:szCs w:val="32"/>
                <w:vertAlign w:val="baseline"/>
                <w:lang w:val="en-US" w:eastAsia="zh-CN"/>
              </w:rPr>
              <w:t>价格（元）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5727" w:type="dxa"/>
            <w:vAlign w:val="center"/>
          </w:tcPr>
          <w:p>
            <w:pPr>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u w:val="none"/>
                <w:lang w:val="en-US" w:eastAsia="zh-CN"/>
              </w:rPr>
              <w:t>超融合平台资源池扩容项目</w:t>
            </w:r>
          </w:p>
        </w:tc>
        <w:tc>
          <w:tcPr>
            <w:tcW w:w="2985" w:type="dxa"/>
            <w:vAlign w:val="center"/>
          </w:tcPr>
          <w:p>
            <w:pPr>
              <w:jc w:val="center"/>
              <w:rPr>
                <w:rFonts w:hint="eastAsia" w:ascii="仿宋_GB2312" w:hAnsi="仿宋_GB2312" w:eastAsia="仿宋_GB2312" w:cs="仿宋_GB2312"/>
                <w:color w:val="auto"/>
                <w:sz w:val="32"/>
                <w:szCs w:val="32"/>
                <w:vertAlign w:val="baseline"/>
                <w:lang w:val="en-US" w:eastAsia="zh-CN"/>
              </w:rPr>
            </w:pPr>
          </w:p>
        </w:tc>
      </w:tr>
    </w:tbl>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必须额外满足的付款要求和对于报价的追加说明（如有）：</w:t>
      </w:r>
    </w:p>
    <w:p>
      <w:pPr>
        <w:jc w:val="both"/>
        <w:rPr>
          <w:rFonts w:hint="eastAsia" w:ascii="仿宋_GB2312" w:hAnsi="仿宋_GB2312" w:eastAsia="仿宋_GB2312" w:cs="仿宋_GB2312"/>
          <w:sz w:val="32"/>
          <w:szCs w:val="32"/>
          <w:lang w:val="en-US" w:eastAsia="zh-CN"/>
        </w:rPr>
      </w:pPr>
    </w:p>
    <w:p>
      <w:pPr>
        <w:pStyle w:val="5"/>
        <w:spacing w:line="520" w:lineRule="exact"/>
        <w:jc w:val="both"/>
        <w:rPr>
          <w:rFonts w:hint="eastAsia" w:ascii="仿宋_GB2312" w:hAnsi="仿宋_GB2312" w:eastAsia="仿宋_GB2312" w:cs="仿宋_GB2312"/>
          <w:sz w:val="32"/>
          <w:szCs w:val="32"/>
          <w:lang w:val="en-US" w:eastAsia="zh-CN"/>
        </w:rPr>
      </w:pPr>
    </w:p>
    <w:p>
      <w:pPr>
        <w:pStyle w:val="5"/>
        <w:spacing w:line="520" w:lineRule="exact"/>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供应商盖章：</w:t>
      </w:r>
    </w:p>
    <w:p>
      <w:pPr>
        <w:pStyle w:val="2"/>
        <w:rPr>
          <w:rFonts w:hint="eastAsia"/>
          <w:lang w:val="en-US" w:eastAsia="zh-CN"/>
        </w:rPr>
      </w:pPr>
    </w:p>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br w:type="page"/>
      </w:r>
    </w:p>
    <w:p>
      <w:pPr>
        <w:rPr>
          <w:rFonts w:hint="eastAsia"/>
          <w:lang w:val="en-US" w:eastAsia="zh-CN"/>
        </w:rPr>
      </w:pPr>
      <w:r>
        <w:rPr>
          <w:rFonts w:hint="eastAsia" w:ascii="仿宋_GB2312" w:hAnsi="仿宋_GB2312" w:eastAsia="仿宋_GB2312" w:cs="仿宋_GB2312"/>
          <w:b w:val="0"/>
          <w:bCs/>
          <w:sz w:val="32"/>
          <w:szCs w:val="32"/>
          <w:lang w:val="en-US" w:eastAsia="zh-CN"/>
        </w:rPr>
        <w:t>附件4</w:t>
      </w:r>
    </w:p>
    <w:p>
      <w:pPr>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44"/>
          <w:szCs w:val="44"/>
          <w:lang w:val="en-US" w:eastAsia="zh-CN"/>
        </w:rPr>
        <w:t>市场应用情况表</w:t>
      </w:r>
    </w:p>
    <w:tbl>
      <w:tblPr>
        <w:tblStyle w:val="11"/>
        <w:tblpPr w:leftFromText="180" w:rightFromText="180" w:vertAnchor="text" w:horzAnchor="page" w:tblpX="1697" w:tblpY="146"/>
        <w:tblOverlap w:val="never"/>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3240"/>
        <w:gridCol w:w="1410"/>
        <w:gridCol w:w="1485"/>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both"/>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序号</w:t>
            </w:r>
          </w:p>
        </w:tc>
        <w:tc>
          <w:tcPr>
            <w:tcW w:w="324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同类产品/服务采购单位</w:t>
            </w:r>
          </w:p>
        </w:tc>
        <w:tc>
          <w:tcPr>
            <w:tcW w:w="141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采购年度</w:t>
            </w:r>
          </w:p>
        </w:tc>
        <w:tc>
          <w:tcPr>
            <w:tcW w:w="148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联系人</w:t>
            </w:r>
          </w:p>
        </w:tc>
        <w:tc>
          <w:tcPr>
            <w:tcW w:w="190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bl>
    <w:p>
      <w:pPr>
        <w:rPr>
          <w:rFonts w:hint="eastAsia" w:ascii="仿宋_GB2312" w:hAnsi="仿宋_GB2312" w:eastAsia="仿宋_GB2312" w:cs="仿宋_GB2312"/>
          <w:b w:val="0"/>
          <w:bCs w:val="0"/>
          <w:sz w:val="32"/>
          <w:szCs w:val="32"/>
          <w:lang w:val="en-US" w:eastAsia="zh-CN"/>
        </w:rPr>
      </w:pPr>
    </w:p>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供应商盖章：</w:t>
      </w:r>
    </w:p>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br w:type="page"/>
      </w:r>
    </w:p>
    <w:p>
      <w:pPr>
        <w:rPr>
          <w:rFonts w:hint="eastAsia"/>
          <w:lang w:val="en-US" w:eastAsia="zh-CN"/>
        </w:rPr>
      </w:pPr>
      <w:r>
        <w:rPr>
          <w:rFonts w:hint="eastAsia" w:ascii="仿宋_GB2312" w:hAnsi="仿宋_GB2312" w:eastAsia="仿宋_GB2312" w:cs="仿宋_GB2312"/>
          <w:b w:val="0"/>
          <w:bCs/>
          <w:sz w:val="32"/>
          <w:szCs w:val="32"/>
          <w:lang w:val="en-US" w:eastAsia="zh-CN"/>
        </w:rPr>
        <w:t>附件5</w:t>
      </w:r>
    </w:p>
    <w:p>
      <w:pPr>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44"/>
          <w:szCs w:val="44"/>
          <w:lang w:val="en-US" w:eastAsia="zh-CN"/>
        </w:rPr>
        <w:t>超融合平台资源池扩容项目要求</w:t>
      </w:r>
    </w:p>
    <w:p>
      <w:pPr>
        <w:numPr>
          <w:ilvl w:val="0"/>
          <w:numId w:val="0"/>
        </w:numPr>
        <w:ind w:firstLine="640"/>
        <w:rPr>
          <w:rFonts w:hint="eastAsia" w:ascii="仿宋_GB2312" w:hAnsi="仿宋_GB2312" w:eastAsia="仿宋_GB2312" w:cs="仿宋_GB2312"/>
          <w:sz w:val="24"/>
          <w:szCs w:val="24"/>
          <w:lang w:val="en-US" w:eastAsia="zh-CN"/>
        </w:rPr>
      </w:pPr>
    </w:p>
    <w:p>
      <w:pPr>
        <w:numPr>
          <w:ilvl w:val="0"/>
          <w:numId w:val="0"/>
        </w:numPr>
        <w:ind w:firstLine="640"/>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一、资源池扩容</w:t>
      </w:r>
    </w:p>
    <w:p>
      <w:pPr>
        <w:numPr>
          <w:ilvl w:val="0"/>
          <w:numId w:val="0"/>
        </w:numPr>
        <w:ind w:firstLine="64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对资源池进行扩容，使超融合平台增加物理内存空间1920G；物理存储空间增加约180T，实际做安全冗余可用约90T。要求新增超融合环境及增加的存储内存资源需与医院现有超融合环境完全适配，通过统一的平台进行资源管理与分配。具体要求如下：</w:t>
      </w:r>
    </w:p>
    <w:p>
      <w:pPr>
        <w:numPr>
          <w:ilvl w:val="0"/>
          <w:numId w:val="0"/>
        </w:numPr>
        <w:ind w:firstLine="64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1、把医院现有超融合平台资源池增加1个节点服务器资源，服务器要求规格：2U，CPU：不低于2颗Gold 6226R 2.9 GHz（16C），内存：不少于24*32GB DDR4 2933，系统盘：2*240GB SATA SSD，缓存盘：固态硬盘不少于960G-SSD (*4个)，数据盘：至少机械硬盘10T(*12个)，标配盘位数：12，电源：白金认证，冗余电源，接口：至少6千兆电口+2万兆光口，16G-HBA-光纤-双口(*1个)；</w:t>
      </w:r>
    </w:p>
    <w:p>
      <w:pPr>
        <w:numPr>
          <w:ilvl w:val="0"/>
          <w:numId w:val="0"/>
        </w:numPr>
        <w:ind w:firstLine="64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2、对现有3台除HIS、EMR以外的其他业务集群进行内存、存储扩容，共计增加物理内存空间32GB DDR4 2933（*36条）即1152G；物理存储空间增加机械硬盘10T(*6个) 约60T。</w:t>
      </w:r>
    </w:p>
    <w:p>
      <w:pPr>
        <w:numPr>
          <w:ilvl w:val="0"/>
          <w:numId w:val="0"/>
        </w:numPr>
        <w:ind w:firstLine="640"/>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二、版本升级及安全加固</w:t>
      </w:r>
    </w:p>
    <w:p>
      <w:pPr>
        <w:numPr>
          <w:ilvl w:val="0"/>
          <w:numId w:val="0"/>
        </w:numPr>
        <w:ind w:firstLine="64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需要对现有超融合平台进行平台版本升级和安全加固。</w:t>
      </w:r>
    </w:p>
    <w:p>
      <w:pPr>
        <w:numPr>
          <w:ilvl w:val="0"/>
          <w:numId w:val="0"/>
        </w:numPr>
        <w:ind w:firstLine="64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1、平台软件由HCI6.30升级到HCI6.80或以上，此项需停机冷升级，为保证稳定及兼容性需原厂提供此项服务。</w:t>
      </w:r>
    </w:p>
    <w:p>
      <w:pPr>
        <w:numPr>
          <w:ilvl w:val="0"/>
          <w:numId w:val="0"/>
        </w:numPr>
        <w:ind w:firstLine="64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升级新版本之后需实现增以下功能：</w:t>
      </w:r>
    </w:p>
    <w:p>
      <w:pPr>
        <w:numPr>
          <w:ilvl w:val="0"/>
          <w:numId w:val="0"/>
        </w:numPr>
        <w:ind w:firstLine="480" w:firstLineChars="20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（１）支持配置流量镜像，支持虚拟网络内部流量镜像、虚拟网络流量镜像至物理网络、物理网口间流量镜像，满足用户安全审查、流量监控等场景。 </w:t>
      </w:r>
    </w:p>
    <w:p>
      <w:pPr>
        <w:numPr>
          <w:ilvl w:val="0"/>
          <w:numId w:val="0"/>
        </w:numPr>
        <w:ind w:firstLine="480" w:firstLineChars="20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（２）配置网络可视化，支持对业务虚拟机之间的访问关系进行可视化管理，直观查看应用之间的非法访问与故障情况。 </w:t>
      </w:r>
    </w:p>
    <w:p>
      <w:pPr>
        <w:numPr>
          <w:ilvl w:val="0"/>
          <w:numId w:val="0"/>
        </w:numPr>
        <w:ind w:firstLine="480" w:firstLineChars="20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（３）CLI命令行功能，通过脚本自动化实现大规模虚拟机的日常运维。 </w:t>
      </w:r>
    </w:p>
    <w:p>
      <w:pPr>
        <w:numPr>
          <w:ilvl w:val="0"/>
          <w:numId w:val="0"/>
        </w:numPr>
        <w:ind w:firstLine="480" w:firstLineChars="20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（４）支持纳管VMware vCenter7.0/7.0.1/7.0.2版本，满足VMware7.0用户纳管及迁移场景需求。 </w:t>
      </w:r>
    </w:p>
    <w:p>
      <w:pPr>
        <w:numPr>
          <w:ilvl w:val="0"/>
          <w:numId w:val="0"/>
        </w:numPr>
        <w:ind w:firstLine="480" w:firstLineChars="20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（５）支持承载VDI业务，部署虚拟桌面控制器VDC，基于HCI的虚拟化能力，为用户提供虚拟桌面，有效降低客户建设成本，提升整体方案的性能、可靠性，增强产品竞争力。 </w:t>
      </w:r>
    </w:p>
    <w:p>
      <w:pPr>
        <w:numPr>
          <w:ilvl w:val="0"/>
          <w:numId w:val="0"/>
        </w:numPr>
        <w:ind w:firstLine="480" w:firstLineChars="20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（６）支持对接交换机端口的LLDP协议，在界面可以看到对端交换机的网口号、MTU、TTL等信息，降低用户运维复杂度。 </w:t>
      </w:r>
    </w:p>
    <w:p>
      <w:pPr>
        <w:numPr>
          <w:ilvl w:val="0"/>
          <w:numId w:val="0"/>
        </w:numPr>
        <w:ind w:firstLine="480" w:firstLineChars="20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（７）支持网卡QoS上限限制，支持对单张网卡进行上/下行QoS设置，限制虚拟机网络带宽，保障核心业务虚拟机网络资源的供给能力。 </w:t>
      </w:r>
    </w:p>
    <w:p>
      <w:pPr>
        <w:numPr>
          <w:ilvl w:val="0"/>
          <w:numId w:val="0"/>
        </w:numPr>
        <w:ind w:firstLine="480" w:firstLineChars="20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（８）优化同集群、跨集群热迁移功能，在不影响业务运行（零宕机）的情况下，通过热迁移功能将业务系统迁移至其他主机或其他集群运行。  </w:t>
      </w:r>
    </w:p>
    <w:p>
      <w:pPr>
        <w:numPr>
          <w:ilvl w:val="0"/>
          <w:numId w:val="0"/>
        </w:numPr>
        <w:ind w:firstLine="480" w:firstLineChars="20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９）新增NTP服务、桌面云接入服务，两个服务端口管理能力，支持对接新特性的端口管理，满足客户合规性建设要求；优化告警设置功能：新增支持选择性屏蔽虚拟机告警，将用户认为不重要的虚拟机告警屏蔽掉；优化存储策略设置功能；</w:t>
      </w:r>
    </w:p>
    <w:p>
      <w:pPr>
        <w:numPr>
          <w:ilvl w:val="0"/>
          <w:numId w:val="0"/>
        </w:numPr>
        <w:ind w:firstLine="480" w:firstLineChars="20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（10）新增支持用户为存储卷配置默认存储策略，满足用户为特殊业务配置共用的默认存储策略的需求。</w:t>
      </w:r>
    </w:p>
    <w:p>
      <w:pPr>
        <w:numPr>
          <w:ilvl w:val="0"/>
          <w:numId w:val="0"/>
        </w:numPr>
        <w:ind w:firstLine="64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2、增补虚拟机安全加固能力：</w:t>
      </w:r>
    </w:p>
    <w:p>
      <w:pPr>
        <w:numPr>
          <w:ilvl w:val="0"/>
          <w:numId w:val="0"/>
        </w:numPr>
        <w:ind w:firstLine="64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本次采购部分为现有超融合平台的安全虚拟化模块的扩容，需保障新增安全虚拟化模块可以完美兼容现有超融合云管理平台，同时可以与现有的网络虚拟化、分布式防火墙进行联动。</w:t>
      </w:r>
    </w:p>
    <w:p>
      <w:pPr>
        <w:numPr>
          <w:ilvl w:val="0"/>
          <w:numId w:val="0"/>
        </w:numPr>
        <w:ind w:firstLine="64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需提供14颗cpu的安全虚拟化模块软件授权，并带有至少三年的安全虚拟化规则库的免费更新与升级服务；</w:t>
      </w:r>
    </w:p>
    <w:p>
      <w:pPr>
        <w:numPr>
          <w:ilvl w:val="0"/>
          <w:numId w:val="0"/>
        </w:numPr>
        <w:ind w:firstLine="64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为保证云平台与安全能力能高度协同以达到最佳安全效果，安全虚拟化需提供同一品牌云安全中心并集成于内核中，无需跳转即可实现安全统一管理。云安全中心需同时提供主机安全防护能力与网络安全防护能力，包括但不仅限于内建终端检测响应，联动虚拟机拍摄快照，勒索病毒向导化处理，分布式七层防火墙以虚拟机为粒度开启入侵防护、虚拟补丁、WEB漏洞防护等能力。</w:t>
      </w:r>
    </w:p>
    <w:p>
      <w:pPr>
        <w:numPr>
          <w:ilvl w:val="0"/>
          <w:numId w:val="0"/>
        </w:numPr>
        <w:ind w:firstLine="64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云平台需具备分布式七层网络攻击防护能力，支持以虚拟机为粒度，对指定虚拟机和批量虚拟机开启网络防护功能，且不因IP地址变更或迁移等情况导致安全能力失效。</w:t>
      </w:r>
    </w:p>
    <w:p>
      <w:pPr>
        <w:numPr>
          <w:ilvl w:val="0"/>
          <w:numId w:val="0"/>
        </w:numPr>
        <w:ind w:firstLine="640"/>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三、其他注意事项</w:t>
      </w:r>
    </w:p>
    <w:p>
      <w:pPr>
        <w:numPr>
          <w:ilvl w:val="0"/>
          <w:numId w:val="0"/>
        </w:numPr>
        <w:ind w:firstLine="64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1、本项目是对医院现有系统的扩容和升级，需要与现有系统完善匹配。想参与人员可提前联系医院，到医院详细了解现有超融合详细信息。</w:t>
      </w:r>
    </w:p>
    <w:p>
      <w:pPr>
        <w:numPr>
          <w:ilvl w:val="0"/>
          <w:numId w:val="0"/>
        </w:numPr>
        <w:ind w:firstLine="64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本项目需要超融合原厂人员进行技术支持，原厂人员需准备升级工具，如升级包、升级文档等，还需收集环境信息，如服务器IP地址、掩码等，进行升级包以及需进行升级前要进行升级前检查。在正式协助用户进行升级前一周，通过事先上门或远程连接的方式，先使用前置检测包检测客户环境是否满足升级条件，以方便后续的升级流程。在正式升级时，要进行升级前后的检查，升级前要确保环境无问题，在升级之后要确认平台升级无问题且需检验业务是否正常。</w:t>
      </w:r>
    </w:p>
    <w:sectPr>
      <w:pgSz w:w="11906" w:h="16838"/>
      <w:pgMar w:top="1440" w:right="1803" w:bottom="1440" w:left="1803" w:header="851" w:footer="992" w:gutter="0"/>
      <w:cols w:space="0" w:num="1"/>
      <w:rtlGutter w:val="0"/>
      <w:docGrid w:type="lines" w:linePitch="32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62"/>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0217C"/>
    <w:rsid w:val="014E0280"/>
    <w:rsid w:val="0306783C"/>
    <w:rsid w:val="03974053"/>
    <w:rsid w:val="041012AE"/>
    <w:rsid w:val="056E3308"/>
    <w:rsid w:val="058811AD"/>
    <w:rsid w:val="06616A6F"/>
    <w:rsid w:val="06637264"/>
    <w:rsid w:val="06D70A48"/>
    <w:rsid w:val="072E50C6"/>
    <w:rsid w:val="088966EE"/>
    <w:rsid w:val="0A5B73EA"/>
    <w:rsid w:val="0A673E5F"/>
    <w:rsid w:val="0A7105F0"/>
    <w:rsid w:val="0AE47B1E"/>
    <w:rsid w:val="0B50556E"/>
    <w:rsid w:val="0BC2087A"/>
    <w:rsid w:val="0C0E2D62"/>
    <w:rsid w:val="0C8666E0"/>
    <w:rsid w:val="0D0328AB"/>
    <w:rsid w:val="0E441926"/>
    <w:rsid w:val="0E535960"/>
    <w:rsid w:val="0E5674D9"/>
    <w:rsid w:val="0EB466F8"/>
    <w:rsid w:val="0F4722FA"/>
    <w:rsid w:val="0F760644"/>
    <w:rsid w:val="0FE867C1"/>
    <w:rsid w:val="0FFB437A"/>
    <w:rsid w:val="112A7A9F"/>
    <w:rsid w:val="125F6671"/>
    <w:rsid w:val="139F5A87"/>
    <w:rsid w:val="15CF09FC"/>
    <w:rsid w:val="17450FC9"/>
    <w:rsid w:val="1753483A"/>
    <w:rsid w:val="178F45DF"/>
    <w:rsid w:val="1940115E"/>
    <w:rsid w:val="19F52E2A"/>
    <w:rsid w:val="1AC3071F"/>
    <w:rsid w:val="1B4D18DA"/>
    <w:rsid w:val="1DA57A56"/>
    <w:rsid w:val="1EAC3F2C"/>
    <w:rsid w:val="1FF86EBC"/>
    <w:rsid w:val="209100DD"/>
    <w:rsid w:val="20F60EBA"/>
    <w:rsid w:val="21A437E9"/>
    <w:rsid w:val="21E03505"/>
    <w:rsid w:val="22EA0E31"/>
    <w:rsid w:val="23597745"/>
    <w:rsid w:val="242C03B8"/>
    <w:rsid w:val="24314357"/>
    <w:rsid w:val="24355AC3"/>
    <w:rsid w:val="27C129C2"/>
    <w:rsid w:val="28460323"/>
    <w:rsid w:val="29770FFA"/>
    <w:rsid w:val="29B47B51"/>
    <w:rsid w:val="2BC4525D"/>
    <w:rsid w:val="2BF70ED7"/>
    <w:rsid w:val="2C8D3362"/>
    <w:rsid w:val="2CF34CB0"/>
    <w:rsid w:val="2D067FF6"/>
    <w:rsid w:val="2D453ECC"/>
    <w:rsid w:val="2DBE0883"/>
    <w:rsid w:val="2DBF247F"/>
    <w:rsid w:val="2E127BEC"/>
    <w:rsid w:val="2ED737AD"/>
    <w:rsid w:val="30261BDE"/>
    <w:rsid w:val="30BA749B"/>
    <w:rsid w:val="30E83BF7"/>
    <w:rsid w:val="326C6156"/>
    <w:rsid w:val="32EB18B3"/>
    <w:rsid w:val="33B8159B"/>
    <w:rsid w:val="33DD3CC2"/>
    <w:rsid w:val="34742945"/>
    <w:rsid w:val="349D7AB3"/>
    <w:rsid w:val="34AF55F9"/>
    <w:rsid w:val="34B302E9"/>
    <w:rsid w:val="34B3356C"/>
    <w:rsid w:val="3507227E"/>
    <w:rsid w:val="35B14893"/>
    <w:rsid w:val="364C6A4B"/>
    <w:rsid w:val="378B19B6"/>
    <w:rsid w:val="37DB39C9"/>
    <w:rsid w:val="38442533"/>
    <w:rsid w:val="3AB050B1"/>
    <w:rsid w:val="3B8A4BB6"/>
    <w:rsid w:val="3BAA707A"/>
    <w:rsid w:val="3BE22435"/>
    <w:rsid w:val="3BE91C1D"/>
    <w:rsid w:val="3C274923"/>
    <w:rsid w:val="3C732980"/>
    <w:rsid w:val="3D4572EC"/>
    <w:rsid w:val="3E7F198B"/>
    <w:rsid w:val="40A34F94"/>
    <w:rsid w:val="40F724E5"/>
    <w:rsid w:val="43B1151D"/>
    <w:rsid w:val="43B62B93"/>
    <w:rsid w:val="453C4CFD"/>
    <w:rsid w:val="45C97AD5"/>
    <w:rsid w:val="46561CC4"/>
    <w:rsid w:val="46F964AC"/>
    <w:rsid w:val="486C7417"/>
    <w:rsid w:val="4A306100"/>
    <w:rsid w:val="4B312183"/>
    <w:rsid w:val="4CCD63FC"/>
    <w:rsid w:val="4E17470B"/>
    <w:rsid w:val="501713DB"/>
    <w:rsid w:val="5026344A"/>
    <w:rsid w:val="5037594C"/>
    <w:rsid w:val="511538A8"/>
    <w:rsid w:val="51491C22"/>
    <w:rsid w:val="518542D3"/>
    <w:rsid w:val="518E7743"/>
    <w:rsid w:val="51965E4E"/>
    <w:rsid w:val="51F17CF9"/>
    <w:rsid w:val="51FE2564"/>
    <w:rsid w:val="528D6E2B"/>
    <w:rsid w:val="54017CE1"/>
    <w:rsid w:val="54571857"/>
    <w:rsid w:val="54AF3AFE"/>
    <w:rsid w:val="54B35F20"/>
    <w:rsid w:val="55223F2F"/>
    <w:rsid w:val="55AB6F58"/>
    <w:rsid w:val="55BC3567"/>
    <w:rsid w:val="5661187C"/>
    <w:rsid w:val="5712074C"/>
    <w:rsid w:val="5AFE414F"/>
    <w:rsid w:val="5C1E32DA"/>
    <w:rsid w:val="5C6309D2"/>
    <w:rsid w:val="5CEE3FCD"/>
    <w:rsid w:val="5D0A749E"/>
    <w:rsid w:val="5D9B7C91"/>
    <w:rsid w:val="5DA24171"/>
    <w:rsid w:val="5DD830E4"/>
    <w:rsid w:val="5EC42E35"/>
    <w:rsid w:val="61594C52"/>
    <w:rsid w:val="618A062A"/>
    <w:rsid w:val="624772C6"/>
    <w:rsid w:val="626F6842"/>
    <w:rsid w:val="639C74DA"/>
    <w:rsid w:val="63CB7229"/>
    <w:rsid w:val="64E613E5"/>
    <w:rsid w:val="64F07963"/>
    <w:rsid w:val="667C5FCE"/>
    <w:rsid w:val="66E05971"/>
    <w:rsid w:val="67761523"/>
    <w:rsid w:val="67782713"/>
    <w:rsid w:val="68504699"/>
    <w:rsid w:val="685C0C8B"/>
    <w:rsid w:val="69252342"/>
    <w:rsid w:val="69CB420D"/>
    <w:rsid w:val="69D86BC2"/>
    <w:rsid w:val="6B870862"/>
    <w:rsid w:val="6BAB4EF0"/>
    <w:rsid w:val="6D373CB7"/>
    <w:rsid w:val="6DF6410C"/>
    <w:rsid w:val="6E955349"/>
    <w:rsid w:val="70924DD6"/>
    <w:rsid w:val="71E73A79"/>
    <w:rsid w:val="72DB2E88"/>
    <w:rsid w:val="735D5523"/>
    <w:rsid w:val="76D4524B"/>
    <w:rsid w:val="76F774A3"/>
    <w:rsid w:val="77305324"/>
    <w:rsid w:val="77D17783"/>
    <w:rsid w:val="78080ACE"/>
    <w:rsid w:val="786067D4"/>
    <w:rsid w:val="790D0676"/>
    <w:rsid w:val="79370F44"/>
    <w:rsid w:val="7A9F7EA6"/>
    <w:rsid w:val="7BBD6CAF"/>
    <w:rsid w:val="7BF62302"/>
    <w:rsid w:val="7CDA444A"/>
    <w:rsid w:val="7D2434E6"/>
    <w:rsid w:val="7D503D91"/>
    <w:rsid w:val="7E33156A"/>
    <w:rsid w:val="7ECA3EAC"/>
    <w:rsid w:val="7FD332B7"/>
    <w:rsid w:val="7FF560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4">
    <w:name w:val="Body Text"/>
    <w:basedOn w:val="1"/>
    <w:qFormat/>
    <w:uiPriority w:val="0"/>
    <w:pPr>
      <w:spacing w:line="300" w:lineRule="exact"/>
    </w:pPr>
    <w:rPr>
      <w:rFonts w:ascii="宋体" w:hAnsi="宋体"/>
      <w:sz w:val="24"/>
    </w:rPr>
  </w:style>
  <w:style w:type="paragraph" w:styleId="5">
    <w:name w:val="Plain Text"/>
    <w:basedOn w:val="1"/>
    <w:qFormat/>
    <w:uiPriority w:val="0"/>
    <w:rPr>
      <w:rFonts w:ascii="宋体" w:hAnsi="Courier New"/>
      <w:szCs w:val="20"/>
    </w:rPr>
  </w:style>
  <w:style w:type="paragraph" w:styleId="6">
    <w:name w:val="footer"/>
    <w:basedOn w:val="1"/>
    <w:semiHidden/>
    <w:unhideWhenUsed/>
    <w:qFormat/>
    <w:uiPriority w:val="99"/>
    <w:pPr>
      <w:tabs>
        <w:tab w:val="center" w:pos="4153"/>
        <w:tab w:val="right" w:pos="8306"/>
      </w:tabs>
      <w:snapToGrid w:val="0"/>
      <w:jc w:val="left"/>
    </w:pPr>
    <w:rPr>
      <w:sz w:val="18"/>
      <w:szCs w:val="18"/>
    </w:rPr>
  </w:style>
  <w:style w:type="paragraph" w:styleId="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9">
    <w:name w:val="Hyperlink"/>
    <w:basedOn w:val="8"/>
    <w:semiHidden/>
    <w:unhideWhenUsed/>
    <w:qFormat/>
    <w:uiPriority w:val="99"/>
    <w:rPr>
      <w:color w:val="0000FF"/>
      <w:u w:val="single"/>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font01"/>
    <w:basedOn w:val="8"/>
    <w:qFormat/>
    <w:uiPriority w:val="0"/>
    <w:rPr>
      <w:rFonts w:hint="default" w:ascii="Times New Roman" w:hAnsi="Times New Roman" w:cs="Times New Roman"/>
      <w:color w:val="0000FF"/>
      <w:sz w:val="21"/>
      <w:szCs w:val="21"/>
      <w:u w:val="none"/>
    </w:rPr>
  </w:style>
  <w:style w:type="character" w:customStyle="1" w:styleId="13">
    <w:name w:val="font21"/>
    <w:basedOn w:val="8"/>
    <w:qFormat/>
    <w:uiPriority w:val="0"/>
    <w:rPr>
      <w:rFonts w:hint="eastAsia" w:ascii="宋体" w:hAnsi="宋体" w:eastAsia="宋体" w:cs="宋体"/>
      <w:color w:val="0000FF"/>
      <w:sz w:val="21"/>
      <w:szCs w:val="21"/>
      <w:u w:val="none"/>
    </w:rPr>
  </w:style>
  <w:style w:type="character" w:customStyle="1" w:styleId="14">
    <w:name w:val="font11"/>
    <w:basedOn w:val="8"/>
    <w:qFormat/>
    <w:uiPriority w:val="0"/>
    <w:rPr>
      <w:rFonts w:hint="eastAsia" w:ascii="宋体" w:hAnsi="宋体" w:eastAsia="宋体" w:cs="宋体"/>
      <w:color w:val="0000FF"/>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2021-05-18T09:21:00Z</dcterms:created>
  <dc:creator>work</dc:creator>
  <cp:lastModifiedBy>Administrator</cp:lastModifiedBy>
  <dcterms:modified xsi:type="dcterms:W3CDTF">2023-10-20T08:40:46Z</dcterms:modified>
  <dc:title>关于邀请参加</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