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编号LZ2022-08SB的免散瞳眼底照相机项目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2022年7月7日14:30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color w:val="auto"/>
          <w:sz w:val="32"/>
          <w:szCs w:val="32"/>
          <w:u w:val="none"/>
          <w:lang w:val="en-US" w:eastAsia="zh-CN"/>
        </w:rPr>
        <w:t>免散瞳眼底照相机1台件。</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2022年7月5日17:00</w:t>
      </w:r>
      <w:r>
        <w:rPr>
          <w:rFonts w:hint="eastAsia" w:ascii="仿宋_GB2312" w:hAnsi="仿宋_GB2312" w:eastAsia="仿宋_GB2312" w:cs="仿宋_GB2312"/>
          <w:sz w:val="32"/>
          <w:szCs w:val="32"/>
          <w:lang w:val="en-US" w:eastAsia="zh-CN"/>
        </w:rPr>
        <w:t>前通过本函“八、联系人与联系方式”中的邮箱向医院招标办提交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供应商不可就本项目的全部或者部分提供超过一种方案要求医院实施选择。</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论证采取远程办公形式，签到和现场沟通使用电话或者办公软件联络方式。报名联系人在论证当日8:00～17:00保持联系电话畅通；项目被授权人在论证当日14:00～17:00保持联系电话畅通。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拟参加的供应商需要将“六、论证现场需要的资料”于2022年7月7日12：00前送达威海市立第三医院招标办王博。送达可以使用邮寄方式，收件信息：威海市齐鲁大道80号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经营许可或者经营备案凭证复印件1份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注:①生产商直接参与的不需要提供销售商资质。</w:t>
      </w:r>
    </w:p>
    <w:p>
      <w:pPr>
        <w:ind w:left="1278" w:leftChars="456" w:hanging="320" w:hangingChars="1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产品为第三类医疗器械的提供《</w:t>
      </w:r>
      <w:r>
        <w:rPr>
          <w:rFonts w:hint="eastAsia" w:ascii="仿宋_GB2312" w:hAnsi="仿宋_GB2312" w:eastAsia="仿宋_GB2312" w:cs="仿宋_GB2312"/>
          <w:b w:val="0"/>
          <w:bCs w:val="0"/>
          <w:sz w:val="32"/>
          <w:szCs w:val="32"/>
        </w:rPr>
        <w:t>医疗器械经营</w:t>
      </w:r>
      <w:r>
        <w:rPr>
          <w:rFonts w:hint="eastAsia" w:ascii="仿宋_GB2312" w:hAnsi="仿宋_GB2312" w:eastAsia="仿宋_GB2312" w:cs="仿宋_GB2312"/>
          <w:b w:val="0"/>
          <w:bCs w:val="0"/>
          <w:sz w:val="32"/>
          <w:szCs w:val="32"/>
          <w:lang w:val="en-US" w:eastAsia="zh-CN"/>
        </w:rPr>
        <w:t>许</w:t>
      </w:r>
      <w:r>
        <w:rPr>
          <w:rFonts w:hint="eastAsia" w:ascii="仿宋_GB2312" w:hAnsi="仿宋_GB2312" w:eastAsia="仿宋_GB2312" w:cs="仿宋_GB2312"/>
          <w:b w:val="0"/>
          <w:bCs w:val="0"/>
          <w:sz w:val="32"/>
          <w:szCs w:val="32"/>
        </w:rPr>
        <w:t>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为第二类医疗器械的提供《第二类医疗器械经营备案凭证》复印件；为第一类医疗器械和不属于医疗器械的，不需要提供经营许可或经营备案凭证。</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2.生产许可或者生产备案凭证复印件1份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注：①进口产品不需要提供生产商资质。</w:t>
      </w:r>
    </w:p>
    <w:p>
      <w:pPr>
        <w:ind w:firstLine="1280" w:firstLineChars="4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②</w:t>
      </w:r>
      <w:r>
        <w:rPr>
          <w:rFonts w:hint="eastAsia" w:ascii="仿宋_GB2312" w:hAnsi="仿宋_GB2312" w:eastAsia="仿宋_GB2312" w:cs="仿宋_GB2312"/>
          <w:b w:val="0"/>
          <w:bCs w:val="0"/>
          <w:sz w:val="32"/>
          <w:szCs w:val="32"/>
          <w:lang w:val="en-US" w:eastAsia="zh-CN"/>
        </w:rPr>
        <w:t>产品为第三类、第二类医疗器械的提供《</w:t>
      </w:r>
      <w:r>
        <w:rPr>
          <w:rFonts w:hint="eastAsia" w:ascii="仿宋_GB2312" w:hAnsi="仿宋_GB2312" w:eastAsia="仿宋_GB2312" w:cs="仿宋_GB2312"/>
          <w:b w:val="0"/>
          <w:bCs w:val="0"/>
          <w:sz w:val="32"/>
          <w:szCs w:val="32"/>
        </w:rPr>
        <w:t>医疗器</w:t>
      </w:r>
    </w:p>
    <w:p>
      <w:pPr>
        <w:ind w:left="1277" w:leftChars="608" w:firstLine="0" w:firstLineChars="0"/>
        <w:rPr>
          <w:rFonts w:hint="eastAsia" w:ascii="仿宋_GB2312" w:hAnsi="仿宋_GB2312" w:eastAsia="仿宋_GB2312" w:cs="仿宋_GB2312"/>
          <w:b w:val="0"/>
          <w:bCs w:val="0"/>
          <w:sz w:val="32"/>
          <w:szCs w:val="32"/>
          <w:lang w:val="en-US"/>
        </w:rPr>
      </w:pPr>
      <w:r>
        <w:rPr>
          <w:rFonts w:hint="eastAsia" w:ascii="仿宋_GB2312" w:hAnsi="仿宋_GB2312" w:eastAsia="仿宋_GB2312" w:cs="仿宋_GB2312"/>
          <w:b w:val="0"/>
          <w:bCs w:val="0"/>
          <w:sz w:val="32"/>
          <w:szCs w:val="32"/>
        </w:rPr>
        <w:t>械</w:t>
      </w:r>
      <w:r>
        <w:rPr>
          <w:rFonts w:hint="eastAsia" w:ascii="仿宋_GB2312" w:hAnsi="仿宋_GB2312" w:eastAsia="仿宋_GB2312" w:cs="仿宋_GB2312"/>
          <w:b w:val="0"/>
          <w:bCs w:val="0"/>
          <w:sz w:val="32"/>
          <w:szCs w:val="32"/>
          <w:lang w:val="en-US" w:eastAsia="zh-CN"/>
        </w:rPr>
        <w:t>生产</w:t>
      </w:r>
      <w:r>
        <w:rPr>
          <w:rFonts w:hint="eastAsia" w:ascii="仿宋_GB2312" w:hAnsi="仿宋_GB2312" w:eastAsia="仿宋_GB2312" w:cs="仿宋_GB2312"/>
          <w:b w:val="0"/>
          <w:bCs w:val="0"/>
          <w:sz w:val="32"/>
          <w:szCs w:val="32"/>
        </w:rPr>
        <w:t>许可证</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复印件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为第一类医疗器械的提供《第一类医疗器械生产备案凭证》复印件；不属于医疗器械的，不需要提供生产许可或生产备案凭证。</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b/>
          <w:bCs/>
          <w:sz w:val="32"/>
          <w:szCs w:val="32"/>
        </w:rPr>
        <w:t>产品资质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产品的</w:t>
      </w:r>
      <w:r>
        <w:rPr>
          <w:rFonts w:hint="eastAsia" w:ascii="仿宋_GB2312" w:hAnsi="仿宋_GB2312" w:eastAsia="仿宋_GB2312" w:cs="仿宋_GB2312"/>
          <w:sz w:val="32"/>
          <w:szCs w:val="32"/>
        </w:rPr>
        <w:t>注册</w:t>
      </w:r>
      <w:r>
        <w:rPr>
          <w:rFonts w:hint="eastAsia" w:ascii="仿宋_GB2312" w:hAnsi="仿宋_GB2312" w:eastAsia="仿宋_GB2312" w:cs="仿宋_GB2312"/>
          <w:sz w:val="32"/>
          <w:szCs w:val="32"/>
          <w:lang w:val="en-US" w:eastAsia="zh-CN"/>
        </w:rPr>
        <w:t>或者备案资料</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注：产品为第三类、第二类医疗器械的提供《</w:t>
      </w:r>
      <w:r>
        <w:rPr>
          <w:rFonts w:hint="eastAsia" w:ascii="仿宋_GB2312" w:hAnsi="仿宋_GB2312" w:eastAsia="仿宋_GB2312" w:cs="仿宋_GB2312"/>
          <w:sz w:val="32"/>
          <w:szCs w:val="32"/>
        </w:rPr>
        <w:t>医疗器械</w:t>
      </w:r>
      <w:r>
        <w:rPr>
          <w:rFonts w:hint="eastAsia" w:ascii="仿宋_GB2312" w:hAnsi="仿宋_GB2312" w:eastAsia="仿宋_GB2312" w:cs="仿宋_GB2312"/>
          <w:sz w:val="32"/>
          <w:szCs w:val="32"/>
          <w:lang w:val="en-US" w:eastAsia="zh-CN"/>
        </w:rPr>
        <w:t>注册证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复印件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为第一类医疗器械的提供《第一类医疗器械备案信息表》复印件；不属于医疗器械的提供自定格式的《关于**产品不属于医疗器械的说明》。</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（四）参与人员资质</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附件1格式的《法人授权委托书》1份</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五）产品</w:t>
      </w:r>
      <w:r>
        <w:rPr>
          <w:rFonts w:hint="eastAsia" w:ascii="仿宋_GB2312" w:hAnsi="仿宋_GB2312" w:eastAsia="仿宋_GB2312" w:cs="仿宋_GB2312"/>
          <w:b/>
          <w:bCs/>
          <w:color w:val="auto"/>
          <w:sz w:val="32"/>
          <w:szCs w:val="32"/>
        </w:rPr>
        <w:t>报价</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附件2格式的《报价单》4份</w:t>
      </w:r>
    </w:p>
    <w:p>
      <w:pPr>
        <w:ind w:left="1278" w:leftChars="304" w:hanging="640" w:hanging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w:t>
      </w:r>
      <w:r>
        <w:rPr>
          <w:rFonts w:hint="eastAsia" w:ascii="仿宋_GB2312" w:hAnsi="仿宋_GB2312" w:eastAsia="仿宋_GB2312" w:cs="仿宋_GB2312"/>
          <w:sz w:val="32"/>
          <w:szCs w:val="32"/>
        </w:rPr>
        <w:t>可选配置</w:t>
      </w:r>
      <w:r>
        <w:rPr>
          <w:rFonts w:hint="eastAsia" w:ascii="仿宋_GB2312" w:hAnsi="仿宋_GB2312" w:eastAsia="仿宋_GB2312" w:cs="仿宋_GB2312"/>
          <w:sz w:val="32"/>
          <w:szCs w:val="32"/>
          <w:lang w:val="en-US" w:eastAsia="zh-CN"/>
        </w:rPr>
        <w:t>报价</w:t>
      </w:r>
      <w:r>
        <w:rPr>
          <w:rFonts w:hint="eastAsia" w:ascii="仿宋_GB2312" w:hAnsi="仿宋_GB2312" w:eastAsia="仿宋_GB2312" w:cs="仿宋_GB2312"/>
          <w:sz w:val="32"/>
          <w:szCs w:val="32"/>
        </w:rPr>
        <w:t>列于标准</w:t>
      </w:r>
      <w:r>
        <w:rPr>
          <w:rFonts w:hint="eastAsia" w:ascii="仿宋_GB2312" w:hAnsi="仿宋_GB2312" w:eastAsia="仿宋_GB2312" w:cs="仿宋_GB2312"/>
          <w:sz w:val="32"/>
          <w:szCs w:val="32"/>
          <w:lang w:val="en-US" w:eastAsia="zh-CN"/>
        </w:rPr>
        <w:t>配置</w:t>
      </w:r>
      <w:r>
        <w:rPr>
          <w:rFonts w:hint="eastAsia" w:ascii="仿宋_GB2312" w:hAnsi="仿宋_GB2312" w:eastAsia="仿宋_GB2312" w:cs="仿宋_GB2312"/>
          <w:sz w:val="32"/>
          <w:szCs w:val="32"/>
        </w:rPr>
        <w:t>之后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产品需要使用专用耗材的（非指配件、易损件），提供专用耗材的名称、规格、生产商、价格，规格中要体现可使用的人次数量。</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（六）产品优势与质量保障</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自定义格式A4纸反正面打印的《产品优势与质量保障措施》4份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注：每份内容不得超过2张A4纸。</w:t>
      </w:r>
    </w:p>
    <w:p>
      <w:pPr>
        <w:ind w:firstLine="643" w:firstLineChars="20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lang w:val="en-US" w:eastAsia="zh-CN"/>
        </w:rPr>
        <w:t>七）市场应用</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附件3格式的《同类产品市场应用情况表》4份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注：罗列</w:t>
      </w:r>
      <w:r>
        <w:rPr>
          <w:rFonts w:hint="eastAsia" w:ascii="仿宋_GB2312" w:hAnsi="仿宋_GB2312" w:eastAsia="仿宋_GB2312" w:cs="仿宋_GB2312"/>
          <w:sz w:val="32"/>
          <w:szCs w:val="32"/>
        </w:rPr>
        <w:t>同品牌同</w:t>
      </w:r>
      <w:r>
        <w:rPr>
          <w:rFonts w:hint="eastAsia" w:ascii="仿宋_GB2312" w:hAnsi="仿宋_GB2312" w:eastAsia="仿宋_GB2312" w:cs="仿宋_GB2312"/>
          <w:sz w:val="32"/>
          <w:szCs w:val="32"/>
          <w:lang w:val="en-US" w:eastAsia="zh-CN"/>
        </w:rPr>
        <w:t>规格</w:t>
      </w:r>
      <w:r>
        <w:rPr>
          <w:rFonts w:hint="eastAsia" w:ascii="仿宋_GB2312" w:hAnsi="仿宋_GB2312" w:eastAsia="仿宋_GB2312" w:cs="仿宋_GB2312"/>
          <w:sz w:val="32"/>
          <w:szCs w:val="32"/>
        </w:rPr>
        <w:t>型号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如同规格型号市场应用较</w:t>
      </w:r>
    </w:p>
    <w:p>
      <w:pPr>
        <w:ind w:left="1277" w:leftChars="608"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少，可适当提供关联规格型号)</w:t>
      </w:r>
      <w:r>
        <w:rPr>
          <w:rFonts w:hint="eastAsia" w:ascii="仿宋_GB2312" w:hAnsi="仿宋_GB2312" w:eastAsia="仿宋_GB2312" w:cs="仿宋_GB2312"/>
          <w:sz w:val="32"/>
          <w:szCs w:val="32"/>
        </w:rPr>
        <w:t>产品的市场分布情况，</w:t>
      </w:r>
      <w:r>
        <w:rPr>
          <w:rFonts w:hint="eastAsia" w:ascii="仿宋_GB2312" w:hAnsi="仿宋_GB2312" w:eastAsia="仿宋_GB2312" w:cs="仿宋_GB2312"/>
          <w:sz w:val="32"/>
          <w:szCs w:val="32"/>
          <w:lang w:val="en-US" w:eastAsia="zh-CN"/>
        </w:rPr>
        <w:t>数量不超过20家，顺序为威海区域在前、其他区域在后。</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八）产品彩页</w:t>
      </w:r>
    </w:p>
    <w:p>
      <w:pPr>
        <w:ind w:firstLine="640"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sz w:val="32"/>
          <w:szCs w:val="32"/>
          <w:lang w:val="en-US" w:eastAsia="zh-CN"/>
        </w:rPr>
        <w:t>如有，提供4份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九）其他资料</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原则上不需提供其他资料，但如果供应商认为确有必要追加提供的，可提供不超过2种、每种1份的其他资料。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要求：</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以上（一）至（九）严格按照要求的种类、数量、顺序整理为一套资料（严禁乱提供非本函要求的资料），每页加盖参与论证公司的红章，使用</w:t>
      </w:r>
      <w:r>
        <w:rPr>
          <w:rFonts w:hint="eastAsia" w:ascii="仿宋_GB2312" w:hAnsi="仿宋_GB2312" w:eastAsia="仿宋_GB2312" w:cs="仿宋_GB2312"/>
          <w:b w:val="0"/>
          <w:bCs w:val="0"/>
          <w:color w:val="auto"/>
          <w:sz w:val="32"/>
          <w:szCs w:val="32"/>
          <w:lang w:val="en-US" w:eastAsia="zh-CN"/>
        </w:rPr>
        <w:t>长尾夹固定。</w:t>
      </w:r>
      <w:bookmarkStart w:id="0" w:name="_GoBack"/>
      <w:bookmarkEnd w:id="0"/>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3.产品市场应用情况表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ind w:firstLine="1050" w:firstLineChars="500"/>
        <w:rPr>
          <w:rFonts w:hint="eastAsia"/>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2022年6月24日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报价单</w:t>
      </w:r>
    </w:p>
    <w:p>
      <w:pPr>
        <w:jc w:val="center"/>
        <w:rPr>
          <w:rFonts w:hint="eastAsia" w:ascii="仿宋_GB2312" w:hAnsi="仿宋_GB2312" w:eastAsia="仿宋_GB2312" w:cs="仿宋_GB2312"/>
          <w:b/>
          <w:bCs/>
          <w:sz w:val="24"/>
          <w:szCs w:val="24"/>
          <w:lang w:val="en-US" w:eastAsia="zh-CN"/>
        </w:rPr>
      </w:pPr>
    </w:p>
    <w:tbl>
      <w:tblPr>
        <w:tblStyle w:val="10"/>
        <w:tblW w:w="8685"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980"/>
        <w:gridCol w:w="1260"/>
        <w:gridCol w:w="237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98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26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3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98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耗材</w:t>
            </w: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750" w:type="dxa"/>
            <w:vAlign w:val="center"/>
          </w:tcPr>
          <w:p>
            <w:pPr>
              <w:jc w:val="both"/>
              <w:rPr>
                <w:rFonts w:hint="eastAsia" w:ascii="仿宋_GB2312" w:hAnsi="仿宋_GB2312" w:eastAsia="仿宋_GB2312" w:cs="仿宋_GB2312"/>
                <w:sz w:val="24"/>
                <w:szCs w:val="24"/>
                <w:vertAlign w:val="baseline"/>
                <w:lang w:val="en-US" w:eastAsia="zh-CN"/>
              </w:rPr>
            </w:pPr>
          </w:p>
        </w:tc>
        <w:tc>
          <w:tcPr>
            <w:tcW w:w="1980" w:type="dxa"/>
            <w:vAlign w:val="center"/>
          </w:tcPr>
          <w:p>
            <w:pPr>
              <w:jc w:val="both"/>
              <w:rPr>
                <w:rFonts w:hint="eastAsia" w:ascii="仿宋_GB2312" w:hAnsi="仿宋_GB2312" w:eastAsia="仿宋_GB2312" w:cs="仿宋_GB2312"/>
                <w:sz w:val="24"/>
                <w:szCs w:val="24"/>
                <w:vertAlign w:val="baseline"/>
                <w:lang w:val="en-US" w:eastAsia="zh-CN"/>
              </w:rPr>
            </w:pPr>
          </w:p>
        </w:tc>
        <w:tc>
          <w:tcPr>
            <w:tcW w:w="1260" w:type="dxa"/>
            <w:vAlign w:val="center"/>
          </w:tcPr>
          <w:p>
            <w:pPr>
              <w:jc w:val="both"/>
              <w:rPr>
                <w:rFonts w:hint="eastAsia" w:ascii="仿宋_GB2312" w:hAnsi="仿宋_GB2312" w:eastAsia="仿宋_GB2312" w:cs="仿宋_GB2312"/>
                <w:sz w:val="24"/>
                <w:szCs w:val="24"/>
                <w:vertAlign w:val="baseline"/>
                <w:lang w:val="en-US" w:eastAsia="zh-CN"/>
              </w:rPr>
            </w:pPr>
          </w:p>
        </w:tc>
        <w:tc>
          <w:tcPr>
            <w:tcW w:w="237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both"/>
              <w:rPr>
                <w:rFonts w:hint="eastAsia" w:ascii="仿宋_GB2312" w:hAnsi="仿宋_GB2312" w:eastAsia="仿宋_GB2312" w:cs="仿宋_GB2312"/>
                <w:sz w:val="24"/>
                <w:szCs w:val="24"/>
                <w:vertAlign w:val="baseline"/>
                <w:lang w:val="en-US" w:eastAsia="zh-CN"/>
              </w:rPr>
            </w:pPr>
          </w:p>
        </w:tc>
        <w:tc>
          <w:tcPr>
            <w:tcW w:w="1350"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bCs/>
          <w:sz w:val="24"/>
          <w:szCs w:val="24"/>
          <w:lang w:val="en-US" w:eastAsia="zh-CN"/>
        </w:rPr>
      </w:pPr>
    </w:p>
    <w:p>
      <w:pPr>
        <w:ind w:firstLine="482"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24"/>
          <w:szCs w:val="24"/>
          <w:lang w:val="en-US" w:eastAsia="zh-CN"/>
        </w:rPr>
        <w:t>注：产品有专用耗材的，除提供名称、规格型号、生产商、价格外，规格型号中要体现可使用人次。</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产品市场应用情况表</w:t>
      </w:r>
    </w:p>
    <w:p>
      <w:pPr>
        <w:jc w:val="center"/>
        <w:rPr>
          <w:rFonts w:hint="eastAsia" w:ascii="仿宋_GB2312" w:hAnsi="仿宋_GB2312" w:eastAsia="仿宋_GB2312" w:cs="仿宋_GB2312"/>
          <w:b/>
          <w:bCs/>
          <w:sz w:val="24"/>
          <w:szCs w:val="24"/>
          <w:lang w:val="en-US" w:eastAsia="zh-CN"/>
        </w:rPr>
      </w:pPr>
    </w:p>
    <w:tbl>
      <w:tblPr>
        <w:tblStyle w:val="10"/>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310"/>
        <w:gridCol w:w="1050"/>
        <w:gridCol w:w="1575"/>
        <w:gridCol w:w="825"/>
        <w:gridCol w:w="157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3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0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5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c>
          <w:tcPr>
            <w:tcW w:w="82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装机</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年度</w:t>
            </w:r>
          </w:p>
        </w:tc>
        <w:tc>
          <w:tcPr>
            <w:tcW w:w="15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9"/>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ind w:left="0" w:leftChars="0" w:firstLine="0" w:firstLineChars="0"/>
        <w:jc w:val="both"/>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5CF09FC"/>
    <w:rsid w:val="17450FC9"/>
    <w:rsid w:val="1753483A"/>
    <w:rsid w:val="178F45DF"/>
    <w:rsid w:val="1940115E"/>
    <w:rsid w:val="19F52E2A"/>
    <w:rsid w:val="1FF86EBC"/>
    <w:rsid w:val="209100DD"/>
    <w:rsid w:val="21E03505"/>
    <w:rsid w:val="23597745"/>
    <w:rsid w:val="24314357"/>
    <w:rsid w:val="27C129C2"/>
    <w:rsid w:val="28460323"/>
    <w:rsid w:val="29B47B51"/>
    <w:rsid w:val="29CE59D6"/>
    <w:rsid w:val="2BC4525D"/>
    <w:rsid w:val="2BF70ED7"/>
    <w:rsid w:val="2D067FF6"/>
    <w:rsid w:val="2D453ECC"/>
    <w:rsid w:val="2E127BEC"/>
    <w:rsid w:val="2ED737AD"/>
    <w:rsid w:val="30BA749B"/>
    <w:rsid w:val="326C6156"/>
    <w:rsid w:val="32EB18B3"/>
    <w:rsid w:val="33B8159B"/>
    <w:rsid w:val="33DD3CC2"/>
    <w:rsid w:val="349D7AB3"/>
    <w:rsid w:val="3507227E"/>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4244112"/>
    <w:rsid w:val="54571857"/>
    <w:rsid w:val="54AF3AFE"/>
    <w:rsid w:val="54B35F20"/>
    <w:rsid w:val="55223F2F"/>
    <w:rsid w:val="5712074C"/>
    <w:rsid w:val="5AFE414F"/>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01"/>
    <w:basedOn w:val="7"/>
    <w:qFormat/>
    <w:uiPriority w:val="0"/>
    <w:rPr>
      <w:rFonts w:hint="default" w:ascii="Times New Roman" w:hAnsi="Times New Roman" w:cs="Times New Roman"/>
      <w:color w:val="0000FF"/>
      <w:sz w:val="21"/>
      <w:szCs w:val="21"/>
      <w:u w:val="none"/>
    </w:rPr>
  </w:style>
  <w:style w:type="character" w:customStyle="1" w:styleId="12">
    <w:name w:val="font21"/>
    <w:basedOn w:val="7"/>
    <w:qFormat/>
    <w:uiPriority w:val="0"/>
    <w:rPr>
      <w:rFonts w:hint="eastAsia" w:ascii="宋体" w:hAnsi="宋体" w:eastAsia="宋体" w:cs="宋体"/>
      <w:color w:val="0000FF"/>
      <w:sz w:val="21"/>
      <w:szCs w:val="21"/>
      <w:u w:val="none"/>
    </w:rPr>
  </w:style>
  <w:style w:type="character" w:customStyle="1" w:styleId="13">
    <w:name w:val="font11"/>
    <w:basedOn w:val="7"/>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2022-06-24T00:56:47Z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