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编号LZ2021-25ZW的医用电梯维保服务项目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2021年11月20日9:00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8:45至8:55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0000FF"/>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用电梯维保服务（技术服务+除照明灯具外的300元内配件），和300元以上配件的供应，具体内容见附件3《报价单》。其中报价单2是医院根据以往经验罗列出的有可能采购的配件，但不是有可能采购的所有配件。</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2021年11月18日17:00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通过与供应商进行沟通与谈判，掌握相关产品与服务的质量层次、价格水平、配置方案、保障体系、市场应用等相关信息，为未来实施项目采购提供质量与服务标准、价格上限等依据。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论证参照竞争性蹉商的方式。现场谈判的顺序按照报名的先后顺序反向进行。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四）服务与质量保障方案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自定义格式A4纸反正面打印的《服务及人员配置方案与质量保障措施》4份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（五）公司业绩</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附件3格式的供应商《对外服务情况表》4份（罗列的顺序为威海区域在前，其他区域在后，总数量不超过20家）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（六）供应商实力佐证材料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如有，可提供不超过3种的证书或者其他单页材料复印件各1份</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长尾夹（首选）或拉杆夹固定。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3.对外服务情况表</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bookmarkStart w:id="0" w:name="_GoBack"/>
      <w:bookmarkEnd w:id="0"/>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2021年11月11日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3"/>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3"/>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3"/>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3"/>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r>
        <w:rPr>
          <w:rFonts w:hint="eastAsia" w:ascii="仿宋_GB2312" w:hAnsi="仿宋_GB2312" w:eastAsia="仿宋_GB2312" w:cs="仿宋_GB2312"/>
          <w:sz w:val="13"/>
          <w:szCs w:val="13"/>
          <w:lang w:val="en-US" w:eastAsia="zh-CN"/>
        </w:rPr>
        <w:br w:type="page"/>
      </w:r>
    </w:p>
    <w:p>
      <w:pPr>
        <w:pStyle w:val="3"/>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p>
    <w:p>
      <w:pPr>
        <w:jc w:val="both"/>
        <w:rPr>
          <w:rFonts w:hint="eastAsia" w:ascii="仿宋_GB2312" w:hAnsi="仿宋_GB2312" w:eastAsia="仿宋_GB2312" w:cs="仿宋_GB2312"/>
          <w:sz w:val="21"/>
          <w:szCs w:val="21"/>
          <w:lang w:val="en-US" w:eastAsia="zh-CN"/>
        </w:rPr>
      </w:pPr>
    </w:p>
    <w:tbl>
      <w:tblPr>
        <w:tblStyle w:val="9"/>
        <w:tblW w:w="883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30"/>
        <w:gridCol w:w="1410"/>
        <w:gridCol w:w="743"/>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名称</w:t>
            </w:r>
          </w:p>
        </w:tc>
        <w:tc>
          <w:tcPr>
            <w:tcW w:w="1830"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内容</w:t>
            </w:r>
          </w:p>
        </w:tc>
        <w:tc>
          <w:tcPr>
            <w:tcW w:w="1410"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工作层数</w:t>
            </w:r>
          </w:p>
        </w:tc>
        <w:tc>
          <w:tcPr>
            <w:tcW w:w="743"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数量</w:t>
            </w:r>
          </w:p>
        </w:tc>
        <w:tc>
          <w:tcPr>
            <w:tcW w:w="1420"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单价（元）</w:t>
            </w:r>
          </w:p>
        </w:tc>
        <w:tc>
          <w:tcPr>
            <w:tcW w:w="1420" w:type="dxa"/>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restart"/>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一年期</w:t>
            </w:r>
          </w:p>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医用电梯维保服务</w:t>
            </w:r>
          </w:p>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（技术服务+除照明灯具300元内配件）</w:t>
            </w:r>
          </w:p>
        </w:tc>
        <w:tc>
          <w:tcPr>
            <w:tcW w:w="183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蒂森厢式电梯</w:t>
            </w:r>
          </w:p>
        </w:tc>
        <w:tc>
          <w:tcPr>
            <w:tcW w:w="141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17层</w:t>
            </w:r>
          </w:p>
        </w:tc>
        <w:tc>
          <w:tcPr>
            <w:tcW w:w="743"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continue"/>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83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日立厢式电梯</w:t>
            </w:r>
          </w:p>
        </w:tc>
        <w:tc>
          <w:tcPr>
            <w:tcW w:w="141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17层</w:t>
            </w:r>
          </w:p>
        </w:tc>
        <w:tc>
          <w:tcPr>
            <w:tcW w:w="743"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continue"/>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83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日立厢式电梯</w:t>
            </w:r>
          </w:p>
        </w:tc>
        <w:tc>
          <w:tcPr>
            <w:tcW w:w="141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16层</w:t>
            </w:r>
          </w:p>
        </w:tc>
        <w:tc>
          <w:tcPr>
            <w:tcW w:w="743"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continue"/>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83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迅达厢式电梯</w:t>
            </w:r>
          </w:p>
        </w:tc>
        <w:tc>
          <w:tcPr>
            <w:tcW w:w="141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14层</w:t>
            </w:r>
          </w:p>
        </w:tc>
        <w:tc>
          <w:tcPr>
            <w:tcW w:w="743"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continue"/>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83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迅达扶式电梯</w:t>
            </w:r>
          </w:p>
        </w:tc>
        <w:tc>
          <w:tcPr>
            <w:tcW w:w="1410"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1层</w:t>
            </w:r>
          </w:p>
        </w:tc>
        <w:tc>
          <w:tcPr>
            <w:tcW w:w="743" w:type="dxa"/>
            <w:vAlign w:val="center"/>
          </w:tcPr>
          <w:p>
            <w:pPr>
              <w:pStyle w:val="2"/>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1420" w:type="dxa"/>
            <w:vAlign w:val="center"/>
          </w:tcPr>
          <w:p>
            <w:pPr>
              <w:pStyle w:val="2"/>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10" w:type="dxa"/>
            <w:vMerge w:val="continue"/>
            <w:vAlign w:val="center"/>
          </w:tcPr>
          <w:p>
            <w:pPr>
              <w:pStyle w:val="2"/>
              <w:jc w:val="center"/>
              <w:rPr>
                <w:rFonts w:hint="eastAsia" w:ascii="仿宋_GB2312" w:hAnsi="仿宋_GB2312" w:eastAsia="仿宋_GB2312" w:cs="仿宋_GB2312"/>
                <w:sz w:val="21"/>
                <w:szCs w:val="21"/>
                <w:vertAlign w:val="baseline"/>
                <w:lang w:val="en-US" w:eastAsia="zh-CN"/>
              </w:rPr>
            </w:pPr>
          </w:p>
        </w:tc>
        <w:tc>
          <w:tcPr>
            <w:tcW w:w="5403" w:type="dxa"/>
            <w:gridSpan w:val="4"/>
            <w:vAlign w:val="center"/>
          </w:tcPr>
          <w:p>
            <w:pPr>
              <w:pStyle w:val="2"/>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合计金额（元）</w:t>
            </w:r>
          </w:p>
        </w:tc>
        <w:tc>
          <w:tcPr>
            <w:tcW w:w="1420" w:type="dxa"/>
            <w:vAlign w:val="center"/>
          </w:tcPr>
          <w:p>
            <w:pPr>
              <w:pStyle w:val="2"/>
              <w:jc w:val="center"/>
              <w:rPr>
                <w:rFonts w:hint="eastAsia" w:ascii="仿宋_GB2312" w:hAnsi="仿宋_GB2312" w:eastAsia="仿宋_GB2312" w:cs="仿宋_GB2312"/>
                <w:b/>
                <w:bCs/>
                <w:sz w:val="21"/>
                <w:szCs w:val="21"/>
                <w:vertAlign w:val="baseline"/>
                <w:lang w:val="en-US" w:eastAsia="zh-CN"/>
              </w:rPr>
            </w:pPr>
          </w:p>
        </w:tc>
      </w:tr>
    </w:tbl>
    <w:p>
      <w:pPr>
        <w:pStyle w:val="2"/>
        <w:rPr>
          <w:rFonts w:hint="eastAsia"/>
          <w:sz w:val="21"/>
          <w:szCs w:val="21"/>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9"/>
        <w:tblW w:w="8818"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15"/>
        <w:gridCol w:w="1110"/>
        <w:gridCol w:w="1560"/>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序号</w:t>
            </w:r>
          </w:p>
        </w:tc>
        <w:tc>
          <w:tcPr>
            <w:tcW w:w="3015"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名称</w:t>
            </w:r>
          </w:p>
        </w:tc>
        <w:tc>
          <w:tcPr>
            <w:tcW w:w="1110"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单位</w:t>
            </w:r>
          </w:p>
        </w:tc>
        <w:tc>
          <w:tcPr>
            <w:tcW w:w="1560"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单价（元）</w:t>
            </w:r>
          </w:p>
        </w:tc>
        <w:tc>
          <w:tcPr>
            <w:tcW w:w="2278"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aps/>
                <w:kern w:val="0"/>
                <w:sz w:val="21"/>
                <w:szCs w:val="21"/>
              </w:rPr>
              <w:t>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aps/>
                <w:kern w:val="0"/>
                <w:sz w:val="21"/>
                <w:szCs w:val="21"/>
              </w:rPr>
              <w:t>迅达专用应急电源装置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aps/>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迅达电梯门机磁鼓</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迅达医梯钢丝绳</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米</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迅达外呼双层显示板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迅达轿内双层显示板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迅达、日立电梯平层感应器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迅达、日立电梯限速器校验</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迅达KMC接触器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迅达KMY接触器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迅达抱闸接触器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迅达抱闸强制继电器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迅达门锁继电器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迅达安全继电器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裁截钢丝绳</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迅达QKS9-1门机板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迅达QKS9-1门机</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迅达电梯相序</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迅达应急电源</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19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迅达扶梯摩擦轮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迅达扶梯扶手带摩擦轮链条</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条</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迅达扶梯托带轮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迅达扶梯多楔带</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条</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迅达扶梯抱闸钢带</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根</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迅达扶梯扶手带链轮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条</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迅达计数器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迅达主板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迅达轿厢通讯板SM02</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迅达电梯导向轮更换轴承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29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迅达电梯主机编码器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日立轿厢通讯扩展板SM03</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日立主机编码器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日立信号板NIOB</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日立门机及编码器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日立通讯A板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日立通讯B板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日立通讯C板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日立门机通讯控制板DMC</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日立门机驱动板DMD</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39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日立主接触器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日立制动电阻</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日立电梯主板</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日立曳引机油</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日立曳引轮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日立返绳轮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日立曳引钢丝绳</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米</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迅达、日立补偿链</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米</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迅达、日立语音报站</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日立涨紧轮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49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迅达门锁装置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迅达、日立医梯专用光幕</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51</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日立限速器钢丝绳</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米</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52</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蒂森电源接触器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53</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蒂森封星接触器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54</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蒂森Ｋ07接触器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55</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蒂森运行继电器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56</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蒂森电源运行接触器</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套</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57</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日立风扇</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58</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迅达载荷控制装置</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台</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59</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迅达扶梯特制扶手带</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米</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5"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60</w:t>
            </w:r>
          </w:p>
        </w:tc>
        <w:tc>
          <w:tcPr>
            <w:tcW w:w="3015" w:type="dxa"/>
            <w:vAlign w:val="center"/>
          </w:tcPr>
          <w:p>
            <w:pPr>
              <w:widowControl/>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迅达扶梯相序</w:t>
            </w:r>
          </w:p>
        </w:tc>
        <w:tc>
          <w:tcPr>
            <w:tcW w:w="1110" w:type="dxa"/>
            <w:vAlign w:val="center"/>
          </w:tcPr>
          <w:p>
            <w:pPr>
              <w:widowControl/>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0"/>
                <w:sz w:val="21"/>
                <w:szCs w:val="21"/>
              </w:rPr>
              <w:t>个</w:t>
            </w:r>
          </w:p>
        </w:tc>
        <w:tc>
          <w:tcPr>
            <w:tcW w:w="1560" w:type="dxa"/>
            <w:vAlign w:val="center"/>
          </w:tcPr>
          <w:p>
            <w:pPr>
              <w:jc w:val="center"/>
              <w:rPr>
                <w:rFonts w:hint="eastAsia" w:ascii="仿宋_GB2312" w:hAnsi="仿宋_GB2312" w:eastAsia="仿宋_GB2312" w:cs="仿宋_GB2312"/>
                <w:sz w:val="21"/>
                <w:szCs w:val="21"/>
                <w:vertAlign w:val="baseline"/>
                <w:lang w:val="en-US" w:eastAsia="zh-CN"/>
              </w:rPr>
            </w:pP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540" w:type="dxa"/>
            <w:gridSpan w:val="4"/>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以上合计（元）/价格比对使用</w:t>
            </w:r>
          </w:p>
        </w:tc>
        <w:tc>
          <w:tcPr>
            <w:tcW w:w="2278" w:type="dxa"/>
            <w:vAlign w:val="center"/>
          </w:tcPr>
          <w:p>
            <w:pPr>
              <w:jc w:val="center"/>
              <w:rPr>
                <w:rFonts w:hint="eastAsia" w:ascii="仿宋_GB2312" w:hAnsi="仿宋_GB2312" w:eastAsia="仿宋_GB2312" w:cs="仿宋_GB2312"/>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服务商对于付款方式的要求：</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9"/>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5156"/>
    <w:rsid w:val="0306783C"/>
    <w:rsid w:val="041012AE"/>
    <w:rsid w:val="056E3308"/>
    <w:rsid w:val="06616A6F"/>
    <w:rsid w:val="06637264"/>
    <w:rsid w:val="0A7105F0"/>
    <w:rsid w:val="0B50556E"/>
    <w:rsid w:val="0BC2087A"/>
    <w:rsid w:val="0C0E2D62"/>
    <w:rsid w:val="0E441926"/>
    <w:rsid w:val="0E5674D9"/>
    <w:rsid w:val="0EB466F8"/>
    <w:rsid w:val="0FD254D2"/>
    <w:rsid w:val="0FE867C1"/>
    <w:rsid w:val="0FFB437A"/>
    <w:rsid w:val="112A7A9F"/>
    <w:rsid w:val="125F6671"/>
    <w:rsid w:val="150404B9"/>
    <w:rsid w:val="15ED022F"/>
    <w:rsid w:val="1967506A"/>
    <w:rsid w:val="19F52E2A"/>
    <w:rsid w:val="1B7201AE"/>
    <w:rsid w:val="1BB30BAA"/>
    <w:rsid w:val="1CC43F18"/>
    <w:rsid w:val="209100DD"/>
    <w:rsid w:val="21E03505"/>
    <w:rsid w:val="22537280"/>
    <w:rsid w:val="23597745"/>
    <w:rsid w:val="27C129C2"/>
    <w:rsid w:val="28460323"/>
    <w:rsid w:val="29B47B51"/>
    <w:rsid w:val="2BC4525D"/>
    <w:rsid w:val="2D453ECC"/>
    <w:rsid w:val="2E127BEC"/>
    <w:rsid w:val="2ED737AD"/>
    <w:rsid w:val="2F9C5882"/>
    <w:rsid w:val="32EB18B3"/>
    <w:rsid w:val="33B8159B"/>
    <w:rsid w:val="33DD3CC2"/>
    <w:rsid w:val="35B14893"/>
    <w:rsid w:val="378B19B6"/>
    <w:rsid w:val="3AB050B1"/>
    <w:rsid w:val="3BE22435"/>
    <w:rsid w:val="3C732980"/>
    <w:rsid w:val="3E7F198B"/>
    <w:rsid w:val="40A34F94"/>
    <w:rsid w:val="421034B6"/>
    <w:rsid w:val="46F964AC"/>
    <w:rsid w:val="4D1C264F"/>
    <w:rsid w:val="501713DB"/>
    <w:rsid w:val="5026344A"/>
    <w:rsid w:val="5037594C"/>
    <w:rsid w:val="51491C22"/>
    <w:rsid w:val="518542D3"/>
    <w:rsid w:val="518E7743"/>
    <w:rsid w:val="51965E4E"/>
    <w:rsid w:val="51F17CF9"/>
    <w:rsid w:val="51FE2564"/>
    <w:rsid w:val="528D6E2B"/>
    <w:rsid w:val="54571857"/>
    <w:rsid w:val="55223F2F"/>
    <w:rsid w:val="58DB3D3A"/>
    <w:rsid w:val="590D1127"/>
    <w:rsid w:val="5A757378"/>
    <w:rsid w:val="5C1E32DA"/>
    <w:rsid w:val="5C6309D2"/>
    <w:rsid w:val="5CEE3FCD"/>
    <w:rsid w:val="5D0A749E"/>
    <w:rsid w:val="5EC42E35"/>
    <w:rsid w:val="5EE26D68"/>
    <w:rsid w:val="60C226B7"/>
    <w:rsid w:val="618A062A"/>
    <w:rsid w:val="639C74DA"/>
    <w:rsid w:val="63CB7229"/>
    <w:rsid w:val="640D1CF5"/>
    <w:rsid w:val="649B2D4A"/>
    <w:rsid w:val="64F07963"/>
    <w:rsid w:val="67782713"/>
    <w:rsid w:val="69252342"/>
    <w:rsid w:val="69CB420D"/>
    <w:rsid w:val="69D86BC2"/>
    <w:rsid w:val="6BAB4EF0"/>
    <w:rsid w:val="6CD76D91"/>
    <w:rsid w:val="6D373CB7"/>
    <w:rsid w:val="6DF6410C"/>
    <w:rsid w:val="6E607864"/>
    <w:rsid w:val="6F5845A4"/>
    <w:rsid w:val="71E73A79"/>
    <w:rsid w:val="72DB2E88"/>
    <w:rsid w:val="735D5523"/>
    <w:rsid w:val="76F774A3"/>
    <w:rsid w:val="77D17783"/>
    <w:rsid w:val="78080ACE"/>
    <w:rsid w:val="790D0676"/>
    <w:rsid w:val="7A9F7EA6"/>
    <w:rsid w:val="7BBD6CAF"/>
    <w:rsid w:val="7E33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
    <w:name w:val="Plain Text"/>
    <w:basedOn w:val="1"/>
    <w:qFormat/>
    <w:uiPriority w:val="0"/>
    <w:rPr>
      <w:rFonts w:ascii="宋体" w:hAnsi="Courier New"/>
      <w:szCs w:val="20"/>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Body Text Indent 3"/>
    <w:basedOn w:val="1"/>
    <w:qFormat/>
    <w:uiPriority w:val="99"/>
    <w:pPr>
      <w:spacing w:line="300" w:lineRule="auto"/>
      <w:ind w:firstLine="600"/>
    </w:pPr>
    <w:rPr>
      <w:rFonts w:ascii="仿宋_GB2312" w:eastAsia="仿宋_GB2312"/>
      <w:b/>
      <w:spacing w:val="4"/>
      <w:sz w:val="28"/>
      <w:szCs w:val="20"/>
    </w:rPr>
  </w:style>
  <w:style w:type="character" w:styleId="7">
    <w:name w:val="Hyperlink"/>
    <w:basedOn w:val="6"/>
    <w:semiHidden/>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01"/>
    <w:basedOn w:val="6"/>
    <w:qFormat/>
    <w:uiPriority w:val="0"/>
    <w:rPr>
      <w:rFonts w:hint="default" w:ascii="Times New Roman" w:hAnsi="Times New Roman" w:cs="Times New Roman"/>
      <w:color w:val="0000FF"/>
      <w:sz w:val="21"/>
      <w:szCs w:val="21"/>
      <w:u w:val="none"/>
    </w:rPr>
  </w:style>
  <w:style w:type="character" w:customStyle="1" w:styleId="11">
    <w:name w:val="font21"/>
    <w:basedOn w:val="6"/>
    <w:qFormat/>
    <w:uiPriority w:val="0"/>
    <w:rPr>
      <w:rFonts w:hint="eastAsia" w:ascii="宋体" w:hAnsi="宋体" w:eastAsia="宋体" w:cs="宋体"/>
      <w:color w:val="0000FF"/>
      <w:sz w:val="21"/>
      <w:szCs w:val="21"/>
      <w:u w:val="none"/>
    </w:rPr>
  </w:style>
  <w:style w:type="character" w:customStyle="1" w:styleId="12">
    <w:name w:val="font11"/>
    <w:basedOn w:val="6"/>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张卫强</cp:lastModifiedBy>
  <dcterms:modified xsi:type="dcterms:W3CDTF">2021-11-11T06:22:31Z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